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after="0" w:line="276" w:lineRule="auto"/>
        <w:rPr/>
      </w:pPr>
      <w:r w:rsidDel="00000000" w:rsidR="00000000" w:rsidRPr="00000000">
        <w:rPr>
          <w:sz w:val="34"/>
          <w:szCs w:val="34"/>
        </w:rPr>
        <w:drawing>
          <wp:anchor allowOverlap="1" behindDoc="0" distB="0" distT="0" distL="114300" distR="114300" hidden="0" layoutInCell="1" locked="0" relativeHeight="0" simplePos="0">
            <wp:simplePos x="0" y="0"/>
            <wp:positionH relativeFrom="margin">
              <wp:posOffset>-900429</wp:posOffset>
            </wp:positionH>
            <wp:positionV relativeFrom="margin">
              <wp:posOffset>-711834</wp:posOffset>
            </wp:positionV>
            <wp:extent cx="10085070" cy="7792720"/>
            <wp:effectExtent b="0" l="0" r="0" t="0"/>
            <wp:wrapSquare wrapText="bothSides" distB="0" distT="0" distL="114300" distR="114300"/>
            <wp:docPr id="1349615188"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0085070" cy="7792720"/>
                    </a:xfrm>
                    <a:prstGeom prst="rect"/>
                    <a:ln/>
                  </pic:spPr>
                </pic:pic>
              </a:graphicData>
            </a:graphic>
          </wp:anchor>
        </w:drawing>
      </w:r>
      <w:r w:rsidDel="00000000" w:rsidR="00000000" w:rsidRPr="00000000">
        <w:rPr>
          <w:rtl w:val="0"/>
        </w:rPr>
      </w:r>
    </w:p>
    <w:p w:rsidR="00000000" w:rsidDel="00000000" w:rsidP="00000000" w:rsidRDefault="00000000" w:rsidRPr="00000000" w14:paraId="00000002">
      <w:pPr>
        <w:jc w:val="center"/>
        <w:rPr>
          <w:sz w:val="34"/>
          <w:szCs w:val="34"/>
        </w:rPr>
      </w:pPr>
      <w:r w:rsidDel="00000000" w:rsidR="00000000" w:rsidRPr="00000000">
        <w:rPr>
          <w:rtl w:val="0"/>
        </w:rPr>
      </w:r>
    </w:p>
    <w:p w:rsidR="00000000" w:rsidDel="00000000" w:rsidP="00000000" w:rsidRDefault="00000000" w:rsidRPr="00000000" w14:paraId="00000003">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4">
      <w:pPr>
        <w:keepNext w:val="1"/>
        <w:keepLines w:val="1"/>
        <w:pBdr>
          <w:top w:space="0" w:sz="0" w:val="nil"/>
          <w:left w:space="0" w:sz="0" w:val="nil"/>
          <w:bottom w:space="0" w:sz="0" w:val="nil"/>
          <w:right w:space="0" w:sz="0" w:val="nil"/>
          <w:between w:space="0" w:sz="0" w:val="nil"/>
        </w:pBdr>
        <w:spacing w:after="240" w:line="36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Tabla de contenido</w:t>
      </w:r>
    </w:p>
    <w:sdt>
      <w:sdtPr>
        <w:docPartObj>
          <w:docPartGallery w:val="Table of Contents"/>
          <w:docPartUnique w:val="1"/>
        </w:docPartObj>
      </w:sdtPr>
      <w:sdtContent>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gjdgx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w:t>
              <w:tab/>
              <w:t xml:space="preserve">Enfoques y principios claves</w:t>
              <w:tab/>
              <w:t xml:space="preserve">3</w:t>
            </w:r>
          </w:hyperlink>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1fob9te">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 Primeros pasos</w:t>
            </w:r>
          </w:hyperlink>
          <w:hyperlink w:anchor="_heading=h.1fob9te">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5</w:t>
            </w:r>
          </w:hyperlink>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dy6vkm">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II. ¡Nuestra ruta!</w:t>
            </w:r>
          </w:hyperlink>
          <w:hyperlink w:anchor="_heading=h.3dy6vkm">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17dp8vu">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III. ¡Anotado! Palabras claves</w:t>
            </w:r>
          </w:hyperlink>
          <w:hyperlink w:anchor="_heading=h.17dp8vu">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11</w:t>
            </w:r>
          </w:hyperlink>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j2qqm3">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IV. Recursos de apoyo digitales</w:t>
            </w:r>
          </w:hyperlink>
          <w:hyperlink w:anchor="_heading=h.3j2qqm3">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19</w:t>
            </w:r>
          </w:hyperlink>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w:t>
              <w:tab/>
              <w:t xml:space="preserve">Planeamiento didáctico 2023</w:t>
              <w:tab/>
              <w:t xml:space="preserve">23</w:t>
            </w:r>
          </w:hyperlink>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4i7ojhp">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 Habilidades en el marco de la política curricular</w:t>
            </w:r>
          </w:hyperlink>
          <w:hyperlink w:anchor="_heading=h.4i7ojhp">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24</w:t>
            </w:r>
          </w:hyperlink>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xcytpi">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II. Aprendizajes esperados, indicadores de los aprendizajes esperados y estrategias de mediación.</w:t>
            </w:r>
          </w:hyperlink>
          <w:hyperlink w:anchor="_heading=h.2xcytpi">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25</w:t>
            </w:r>
          </w:hyperlink>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whwml4">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III. Instrumento de evaluación</w:t>
            </w:r>
          </w:hyperlink>
          <w:hyperlink w:anchor="_heading=h.3whwml4">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33</w:t>
            </w:r>
          </w:hyperlink>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bn6wsx">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IV. Organización del tiempo.</w:t>
            </w:r>
          </w:hyperlink>
          <w:hyperlink w:anchor="_heading=h.2bn6wsx">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35</w:t>
            </w:r>
          </w:hyperlink>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qsh70q">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V. Anexos</w:t>
            </w:r>
          </w:hyperlink>
          <w:hyperlink w:anchor="_heading=h.qsh70q">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36</w:t>
            </w:r>
          </w:hyperlink>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jxsxqh">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Referencias</w:t>
              <w:tab/>
              <w:t xml:space="preserve">37</w:t>
            </w:r>
          </w:hyperlink>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z337ya">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Créditos</w:t>
              <w:tab/>
              <w:t xml:space="preserve">38</w:t>
            </w:r>
          </w:hyperlink>
          <w:r w:rsidDel="00000000" w:rsidR="00000000" w:rsidRPr="00000000">
            <w:rPr>
              <w:rtl w:val="0"/>
            </w:rPr>
          </w:r>
        </w:p>
        <w:p w:rsidR="00000000" w:rsidDel="00000000" w:rsidP="00000000" w:rsidRDefault="00000000" w:rsidRPr="00000000" w14:paraId="00000012">
          <w:pPr>
            <w:tabs>
              <w:tab w:val="right" w:leader="none" w:pos="13004"/>
            </w:tabs>
            <w:spacing w:after="80" w:line="240" w:lineRule="auto"/>
            <w:rPr>
              <w:rFonts w:ascii="Arial" w:cs="Arial" w:eastAsia="Arial" w:hAnsi="Arial"/>
              <w:color w:val="000000"/>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3">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4">
      <w:pPr>
        <w:spacing w:after="240" w:line="360" w:lineRule="auto"/>
        <w:jc w:val="center"/>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Aprendizaje esperado: Conservación de la Cantidad</w:t>
      </w:r>
      <w:r w:rsidDel="00000000" w:rsidR="00000000" w:rsidRPr="00000000">
        <w:rPr>
          <w:rtl w:val="0"/>
        </w:rPr>
      </w:r>
    </w:p>
    <w:p w:rsidR="00000000" w:rsidDel="00000000" w:rsidP="00000000" w:rsidRDefault="00000000" w:rsidRPr="00000000" w14:paraId="00000015">
      <w:pPr>
        <w:pStyle w:val="Heading1"/>
        <w:numPr>
          <w:ilvl w:val="0"/>
          <w:numId w:val="2"/>
        </w:numPr>
        <w:ind w:left="360" w:hanging="360"/>
        <w:rPr/>
      </w:pPr>
      <w:bookmarkStart w:colFirst="0" w:colLast="0" w:name="_heading=h.gjdgxs" w:id="0"/>
      <w:bookmarkEnd w:id="0"/>
      <w:r w:rsidDel="00000000" w:rsidR="00000000" w:rsidRPr="00000000">
        <w:rPr>
          <w:rtl w:val="0"/>
        </w:rPr>
        <w:t xml:space="preserve">Enfoques y principios claves </w:t>
      </w:r>
    </w:p>
    <w:p w:rsidR="00000000" w:rsidDel="00000000" w:rsidP="00000000" w:rsidRDefault="00000000" w:rsidRPr="00000000" w14:paraId="00000016">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Este documento contiene información y sugerencias de recursos para mediar el aprendizaje esperado “Conservación de la Cantidad”, a la vez que se acompaña a las niñas </w:t>
      </w:r>
      <w:r w:rsidDel="00000000" w:rsidR="00000000" w:rsidRPr="00000000">
        <w:rPr>
          <w:rFonts w:ascii="Arial" w:cs="Arial" w:eastAsia="Arial" w:hAnsi="Arial"/>
          <w:color w:val="000000"/>
          <w:sz w:val="24"/>
          <w:szCs w:val="24"/>
          <w:rtl w:val="0"/>
        </w:rPr>
        <w:t xml:space="preserve">y los niños a desarrollar su habilidad de “</w:t>
      </w:r>
      <w:r w:rsidDel="00000000" w:rsidR="00000000" w:rsidRPr="00000000">
        <w:rPr>
          <w:rFonts w:ascii="Arial" w:cs="Arial" w:eastAsia="Arial" w:hAnsi="Arial"/>
          <w:sz w:val="24"/>
          <w:szCs w:val="24"/>
          <w:rtl w:val="0"/>
        </w:rPr>
        <w:t xml:space="preserve">Pensamiento Crítico</w:t>
      </w:r>
      <w:r w:rsidDel="00000000" w:rsidR="00000000" w:rsidRPr="00000000">
        <w:rPr>
          <w:rFonts w:ascii="Arial" w:cs="Arial" w:eastAsia="Arial" w:hAnsi="Arial"/>
          <w:color w:val="000000"/>
          <w:sz w:val="24"/>
          <w:szCs w:val="24"/>
          <w:rtl w:val="0"/>
        </w:rPr>
        <w:t xml:space="preserve">”. Asimismo, se aprovechan las estrategias de mediación como oportunidades para promover la construcción de ambientes afectivos desde la Primera Infancia.</w:t>
      </w:r>
      <w:r w:rsidDel="00000000" w:rsidR="00000000" w:rsidRPr="00000000">
        <w:rPr>
          <w:rtl w:val="0"/>
        </w:rPr>
      </w:r>
    </w:p>
    <w:p w:rsidR="00000000" w:rsidDel="00000000" w:rsidP="00000000" w:rsidRDefault="00000000" w:rsidRPr="00000000" w14:paraId="00000017">
      <w:pPr>
        <w:keepNext w:val="1"/>
        <w:pBdr>
          <w:top w:space="0" w:sz="0" w:val="nil"/>
          <w:left w:space="0" w:sz="0" w:val="nil"/>
          <w:bottom w:space="0" w:sz="0" w:val="nil"/>
          <w:right w:space="0" w:sz="0" w:val="nil"/>
          <w:between w:space="0" w:sz="0" w:val="nil"/>
        </w:pBdr>
        <w:spacing w:after="240" w:line="360" w:lineRule="auto"/>
        <w:rPr>
          <w:rFonts w:ascii="Arial" w:cs="Arial" w:eastAsia="Arial" w:hAnsi="Arial"/>
          <w:color w:val="44546a"/>
          <w:sz w:val="18"/>
          <w:szCs w:val="18"/>
        </w:rPr>
      </w:pPr>
      <w:r w:rsidDel="00000000" w:rsidR="00000000" w:rsidRPr="00000000">
        <w:rPr>
          <w:rFonts w:ascii="Arial" w:cs="Arial" w:eastAsia="Arial" w:hAnsi="Arial"/>
          <w:color w:val="44546a"/>
          <w:sz w:val="18"/>
          <w:szCs w:val="18"/>
          <w:rtl w:val="0"/>
        </w:rPr>
        <w:t xml:space="preserve">Tabla 1/ Descripción de las secciones de la parte A del documento</w:t>
      </w:r>
    </w:p>
    <w:tbl>
      <w:tblPr>
        <w:tblStyle w:val="Table1"/>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vAlign w:val="center"/>
          </w:tcPr>
          <w:p w:rsidR="00000000" w:rsidDel="00000000" w:rsidP="00000000" w:rsidRDefault="00000000" w:rsidRPr="00000000" w14:paraId="00000018">
            <w:pPr>
              <w:spacing w:before="240" w:lineRule="auto"/>
              <w:jc w:val="center"/>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Parte A. Enfoques y principios claves</w:t>
            </w:r>
            <w:r w:rsidDel="00000000" w:rsidR="00000000" w:rsidRPr="00000000">
              <w:rPr>
                <w:rtl w:val="0"/>
              </w:rPr>
            </w:r>
          </w:p>
        </w:tc>
      </w:tr>
      <w:tr>
        <w:trPr>
          <w:cantSplit w:val="0"/>
          <w:tblHeader w:val="0"/>
        </w:trPr>
        <w:tc>
          <w:tcPr/>
          <w:p w:rsidR="00000000" w:rsidDel="00000000" w:rsidP="00000000" w:rsidRDefault="00000000" w:rsidRPr="00000000" w14:paraId="00000019">
            <w:pPr>
              <w:spacing w:before="240" w:lineRule="auto"/>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Sección I. Primeros pasos</w:t>
            </w:r>
            <w:r w:rsidDel="00000000" w:rsidR="00000000" w:rsidRPr="00000000">
              <w:rPr>
                <w:rtl w:val="0"/>
              </w:rPr>
            </w:r>
          </w:p>
          <w:p w:rsidR="00000000" w:rsidDel="00000000" w:rsidP="00000000" w:rsidRDefault="00000000" w:rsidRPr="00000000" w14:paraId="0000001A">
            <w:pPr>
              <w:spacing w:before="240"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Bases conceptuales para mediar las actividades propuestas. </w:t>
            </w:r>
            <w:r w:rsidDel="00000000" w:rsidR="00000000" w:rsidRPr="00000000">
              <w:rPr>
                <w:rtl w:val="0"/>
              </w:rPr>
            </w:r>
          </w:p>
        </w:tc>
      </w:tr>
      <w:tr>
        <w:trPr>
          <w:cantSplit w:val="0"/>
          <w:tblHeader w:val="0"/>
        </w:trPr>
        <w:tc>
          <w:tcPr/>
          <w:p w:rsidR="00000000" w:rsidDel="00000000" w:rsidP="00000000" w:rsidRDefault="00000000" w:rsidRPr="00000000" w14:paraId="0000001B">
            <w:pPr>
              <w:spacing w:befor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¡Nuestra ruta!</w:t>
            </w:r>
          </w:p>
          <w:p w:rsidR="00000000" w:rsidDel="00000000" w:rsidP="00000000" w:rsidRDefault="00000000" w:rsidRPr="00000000" w14:paraId="0000001C">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del proceso de aprendizaje sugerido para este aprendizaje esperado.</w:t>
            </w:r>
          </w:p>
        </w:tc>
      </w:tr>
      <w:tr>
        <w:trPr>
          <w:cantSplit w:val="0"/>
          <w:tblHeader w:val="0"/>
        </w:trPr>
        <w:tc>
          <w:tcPr/>
          <w:p w:rsidR="00000000" w:rsidDel="00000000" w:rsidP="00000000" w:rsidRDefault="00000000" w:rsidRPr="00000000" w14:paraId="0000001D">
            <w:pPr>
              <w:spacing w:before="240" w:lineRule="auto"/>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Sección III. ¡Anotado! Palabras claves</w:t>
            </w:r>
            <w:r w:rsidDel="00000000" w:rsidR="00000000" w:rsidRPr="00000000">
              <w:rPr>
                <w:rtl w:val="0"/>
              </w:rPr>
            </w:r>
          </w:p>
          <w:p w:rsidR="00000000" w:rsidDel="00000000" w:rsidP="00000000" w:rsidRDefault="00000000" w:rsidRPr="00000000" w14:paraId="0000001E">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Definiciones de conceptos claves relacionados con las temáticas de “Conservación de la cantidad” y ambientes afectivos.</w:t>
            </w:r>
          </w:p>
        </w:tc>
      </w:tr>
      <w:tr>
        <w:trPr>
          <w:cantSplit w:val="0"/>
          <w:tblHeader w:val="0"/>
        </w:trPr>
        <w:tc>
          <w:tcPr/>
          <w:p w:rsidR="00000000" w:rsidDel="00000000" w:rsidP="00000000" w:rsidRDefault="00000000" w:rsidRPr="00000000" w14:paraId="0000001F">
            <w:pPr>
              <w:spacing w:before="240" w:lineRule="auto"/>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Sección IV. Recursos de apoyo digitales</w:t>
            </w:r>
            <w:r w:rsidDel="00000000" w:rsidR="00000000" w:rsidRPr="00000000">
              <w:rPr>
                <w:rtl w:val="0"/>
              </w:rPr>
            </w:r>
          </w:p>
          <w:p w:rsidR="00000000" w:rsidDel="00000000" w:rsidP="00000000" w:rsidRDefault="00000000" w:rsidRPr="00000000" w14:paraId="00000020">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Lista de enlaces web a recursos digitales útiles para mediar este aprendizaje esperado.</w:t>
            </w:r>
          </w:p>
        </w:tc>
      </w:tr>
    </w:tbl>
    <w:p w:rsidR="00000000" w:rsidDel="00000000" w:rsidP="00000000" w:rsidRDefault="00000000" w:rsidRPr="00000000" w14:paraId="00000021">
      <w:pPr>
        <w:keepNext w:val="1"/>
        <w:pBdr>
          <w:top w:space="0" w:sz="0" w:val="nil"/>
          <w:left w:space="0" w:sz="0" w:val="nil"/>
          <w:bottom w:space="0" w:sz="0" w:val="nil"/>
          <w:right w:space="0" w:sz="0" w:val="nil"/>
          <w:between w:space="0" w:sz="0" w:val="nil"/>
        </w:pBdr>
        <w:spacing w:after="240" w:before="240" w:line="360" w:lineRule="auto"/>
        <w:rPr>
          <w:rFonts w:ascii="Arial" w:cs="Arial" w:eastAsia="Arial" w:hAnsi="Arial"/>
          <w:color w:val="44546a"/>
          <w:sz w:val="18"/>
          <w:szCs w:val="18"/>
        </w:rPr>
      </w:pPr>
      <w:r w:rsidDel="00000000" w:rsidR="00000000" w:rsidRPr="00000000">
        <w:rPr>
          <w:rFonts w:ascii="Arial" w:cs="Arial" w:eastAsia="Arial" w:hAnsi="Arial"/>
          <w:color w:val="44546a"/>
          <w:sz w:val="18"/>
          <w:szCs w:val="18"/>
          <w:rtl w:val="0"/>
        </w:rPr>
        <w:t xml:space="preserve">Tabla 2/ Descripción de las secciones de la parte B del documento</w:t>
      </w:r>
    </w:p>
    <w:tbl>
      <w:tblPr>
        <w:tblStyle w:val="Table2"/>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p w:rsidR="00000000" w:rsidDel="00000000" w:rsidP="00000000" w:rsidRDefault="00000000" w:rsidRPr="00000000" w14:paraId="00000022">
            <w:pPr>
              <w:spacing w:before="240" w:lineRule="auto"/>
              <w:jc w:val="center"/>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Parte B. Planeamiento didáctico</w:t>
            </w:r>
            <w:r w:rsidDel="00000000" w:rsidR="00000000" w:rsidRPr="00000000">
              <w:rPr>
                <w:rtl w:val="0"/>
              </w:rPr>
            </w:r>
          </w:p>
        </w:tc>
      </w:tr>
      <w:tr>
        <w:trPr>
          <w:cantSplit w:val="0"/>
          <w:tblHeader w:val="0"/>
        </w:trPr>
        <w:tc>
          <w:tcPr/>
          <w:p w:rsidR="00000000" w:rsidDel="00000000" w:rsidP="00000000" w:rsidRDefault="00000000" w:rsidRPr="00000000" w14:paraId="00000023">
            <w:pPr>
              <w:spacing w:before="240" w:lineRule="auto"/>
              <w:rPr>
                <w:rFonts w:ascii="Arial" w:cs="Arial" w:eastAsia="Arial" w:hAnsi="Arial"/>
                <w:b w:val="1"/>
                <w:color w:val="0070c0"/>
                <w:sz w:val="24"/>
                <w:szCs w:val="24"/>
              </w:rPr>
            </w:pPr>
            <w:r w:rsidDel="00000000" w:rsidR="00000000" w:rsidRPr="00000000">
              <w:rPr>
                <w:rFonts w:ascii="Arial" w:cs="Arial" w:eastAsia="Arial" w:hAnsi="Arial"/>
                <w:b w:val="1"/>
                <w:sz w:val="24"/>
                <w:szCs w:val="24"/>
                <w:rtl w:val="0"/>
              </w:rPr>
              <w:t xml:space="preserve">Sección I. Habilidades en el marco de la política curricular</w:t>
            </w:r>
            <w:r w:rsidDel="00000000" w:rsidR="00000000" w:rsidRPr="00000000">
              <w:rPr>
                <w:rtl w:val="0"/>
              </w:rPr>
            </w:r>
          </w:p>
          <w:p w:rsidR="00000000" w:rsidDel="00000000" w:rsidP="00000000" w:rsidRDefault="00000000" w:rsidRPr="00000000" w14:paraId="00000024">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 la habilidad correspondiente a este aprendizaje esperado, junto con las pautas para su desarrollo.</w:t>
            </w:r>
          </w:p>
        </w:tc>
      </w:tr>
      <w:tr>
        <w:trPr>
          <w:cantSplit w:val="0"/>
          <w:tblHeader w:val="0"/>
        </w:trPr>
        <w:tc>
          <w:tcPr/>
          <w:p w:rsidR="00000000" w:rsidDel="00000000" w:rsidP="00000000" w:rsidRDefault="00000000" w:rsidRPr="00000000" w14:paraId="00000025">
            <w:pPr>
              <w:spacing w:befor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Aprendizajes esperados, indicadores de los aprendizajes esperados y estrategias de mediación</w:t>
            </w:r>
          </w:p>
          <w:p w:rsidR="00000000" w:rsidDel="00000000" w:rsidP="00000000" w:rsidRDefault="00000000" w:rsidRPr="00000000" w14:paraId="00000026">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Descripciones breves de estrategias de mediación sugeridas para el desarrollo de este proceso, según los indicadores de los aprendizajes esperados.</w:t>
            </w:r>
          </w:p>
        </w:tc>
      </w:tr>
      <w:tr>
        <w:trPr>
          <w:cantSplit w:val="0"/>
          <w:tblHeader w:val="0"/>
        </w:trPr>
        <w:tc>
          <w:tcPr/>
          <w:p w:rsidR="00000000" w:rsidDel="00000000" w:rsidP="00000000" w:rsidRDefault="00000000" w:rsidRPr="00000000" w14:paraId="00000027">
            <w:pPr>
              <w:spacing w:befor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Instrumentos de evaluación</w:t>
            </w:r>
          </w:p>
          <w:p w:rsidR="00000000" w:rsidDel="00000000" w:rsidP="00000000" w:rsidRDefault="00000000" w:rsidRPr="00000000" w14:paraId="00000028">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indicadores de los aprendizajes esperados y los niveles de desempeño, como elementos para guiar la evaluación.</w:t>
            </w:r>
          </w:p>
        </w:tc>
      </w:tr>
      <w:tr>
        <w:trPr>
          <w:cantSplit w:val="0"/>
          <w:tblHeader w:val="0"/>
        </w:trPr>
        <w:tc>
          <w:tcPr/>
          <w:p w:rsidR="00000000" w:rsidDel="00000000" w:rsidP="00000000" w:rsidRDefault="00000000" w:rsidRPr="00000000" w14:paraId="00000029">
            <w:pPr>
              <w:spacing w:befor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Organización del tiempo</w:t>
            </w:r>
          </w:p>
          <w:p w:rsidR="00000000" w:rsidDel="00000000" w:rsidP="00000000" w:rsidRDefault="00000000" w:rsidRPr="00000000" w14:paraId="0000002A">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Espacio para organizar las estrategias de mediación según los diferentes momentos del día.</w:t>
            </w:r>
          </w:p>
        </w:tc>
      </w:tr>
      <w:tr>
        <w:trPr>
          <w:cantSplit w:val="0"/>
          <w:tblHeader w:val="0"/>
        </w:trPr>
        <w:tc>
          <w:tcPr/>
          <w:p w:rsidR="00000000" w:rsidDel="00000000" w:rsidP="00000000" w:rsidRDefault="00000000" w:rsidRPr="00000000" w14:paraId="0000002B">
            <w:pPr>
              <w:spacing w:befor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V. Anexos</w:t>
            </w:r>
          </w:p>
          <w:p w:rsidR="00000000" w:rsidDel="00000000" w:rsidP="00000000" w:rsidRDefault="00000000" w:rsidRPr="00000000" w14:paraId="0000002C">
            <w:pPr>
              <w:spacing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anexos disponibles en el documento “Conservación de la Cantidad: Recursos Pedagógicos”.</w:t>
            </w:r>
          </w:p>
        </w:tc>
      </w:tr>
    </w:tbl>
    <w:p w:rsidR="00000000" w:rsidDel="00000000" w:rsidP="00000000" w:rsidRDefault="00000000" w:rsidRPr="00000000" w14:paraId="0000002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Le invitamos a revisar también el documento “Conservación de la cantidad: Recursos Pedagógicos”, que contiene descripciones detalladas de algunas de las estrategias de mediación que se presentan en este planeamiento didáctico. Estos dos </w:t>
      </w:r>
      <w:r w:rsidDel="00000000" w:rsidR="00000000" w:rsidRPr="00000000">
        <w:rPr>
          <w:rFonts w:ascii="Arial" w:cs="Arial" w:eastAsia="Arial" w:hAnsi="Arial"/>
          <w:color w:val="000000"/>
          <w:sz w:val="24"/>
          <w:szCs w:val="24"/>
          <w:rtl w:val="0"/>
        </w:rPr>
        <w:t xml:space="preserve">documentos le permitirán una visión integ</w:t>
      </w:r>
      <w:r w:rsidDel="00000000" w:rsidR="00000000" w:rsidRPr="00000000">
        <w:rPr>
          <w:rFonts w:ascii="Arial" w:cs="Arial" w:eastAsia="Arial" w:hAnsi="Arial"/>
          <w:sz w:val="24"/>
          <w:szCs w:val="24"/>
          <w:rtl w:val="0"/>
        </w:rPr>
        <w:t xml:space="preserve">ral de cómo enlazar el aprendizaje esperado, las habilidades y los enfoques propuestos para acompañar a las niñas y los niños.</w:t>
      </w:r>
    </w:p>
    <w:p w:rsidR="00000000" w:rsidDel="00000000" w:rsidP="00000000" w:rsidRDefault="00000000" w:rsidRPr="00000000" w14:paraId="0000002E">
      <w:pPr>
        <w:pStyle w:val="Heading2"/>
        <w:spacing w:after="40" w:before="240" w:line="360" w:lineRule="auto"/>
        <w:rPr>
          <w:rFonts w:ascii="Arial" w:cs="Arial" w:eastAsia="Arial" w:hAnsi="Arial"/>
          <w:b w:val="1"/>
          <w:color w:val="000000"/>
          <w:sz w:val="28"/>
          <w:szCs w:val="28"/>
        </w:rPr>
      </w:pPr>
      <w:bookmarkStart w:colFirst="0" w:colLast="0" w:name="_heading=h.1fob9te" w:id="1"/>
      <w:bookmarkEnd w:id="1"/>
      <w:r w:rsidDel="00000000" w:rsidR="00000000" w:rsidRPr="00000000">
        <w:rPr>
          <w:rFonts w:ascii="Arial" w:cs="Arial" w:eastAsia="Arial" w:hAnsi="Arial"/>
          <w:b w:val="1"/>
          <w:color w:val="000000"/>
          <w:sz w:val="28"/>
          <w:szCs w:val="28"/>
          <w:rtl w:val="0"/>
        </w:rPr>
        <w:t xml:space="preserve">Sección I. Primeros pasos </w:t>
      </w:r>
    </w:p>
    <w:p w:rsidR="00000000" w:rsidDel="00000000" w:rsidP="00000000" w:rsidRDefault="00000000" w:rsidRPr="00000000" w14:paraId="0000002F">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 continuación, encontrará las bases conceptuales para mediar las actividades que se proponen en este planeamiento didáctico. Comprender estos principios constituye los primeros pasos para mediar este aprendizaje esperado con las niñas y los niños como protagonistas.</w:t>
      </w:r>
    </w:p>
    <w:p w:rsidR="00000000" w:rsidDel="00000000" w:rsidP="00000000" w:rsidRDefault="00000000" w:rsidRPr="00000000" w14:paraId="00000030">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Ambientes afectivos como base para desarrollar la noción de “Conservación de la Cantidad”</w:t>
      </w:r>
    </w:p>
    <w:p w:rsidR="00000000" w:rsidDel="00000000" w:rsidP="00000000" w:rsidRDefault="00000000" w:rsidRPr="00000000" w14:paraId="00000031">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La noción de Conservación de la Cantidad se refiere a entender que las cantidades permanecen constantes, sin importar cambios en su forma o en la posición de sus partes. Este concepto nace de los clásicos experimentos de Piaget que tanto han influenciado la docencia y el desarrollo curricular durante años. Aunque las ideas piagetianas han sido claves, investigaciones recientes en neurociencia contradicen algunos de estos argumentos y han encontrado errores en sus experimentos. </w:t>
      </w:r>
    </w:p>
    <w:p w:rsidR="00000000" w:rsidDel="00000000" w:rsidP="00000000" w:rsidRDefault="00000000" w:rsidRPr="00000000" w14:paraId="00000032">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 la actualidad se reconoce que el lenguaje utilizado durante los experimentos piagetianos de “Conservación de la cantidad” inducía a las niñas y los niños a equivocarse, además que no se tomó en cuenta la influencia de la motivación, ni la inmadurez de la corteza prefrontal; todo esto llevando a conclusiones erróneas. </w:t>
      </w:r>
      <w:hyperlink r:id="rId8">
        <w:r w:rsidDel="00000000" w:rsidR="00000000" w:rsidRPr="00000000">
          <w:rPr>
            <w:rFonts w:ascii="Arial" w:cs="Arial" w:eastAsia="Arial" w:hAnsi="Arial"/>
            <w:color w:val="0000ff"/>
            <w:sz w:val="24"/>
            <w:szCs w:val="24"/>
            <w:u w:val="single"/>
            <w:rtl w:val="0"/>
          </w:rPr>
          <w:t xml:space="preserve">Estudios recientes</w:t>
        </w:r>
      </w:hyperlink>
      <w:r w:rsidDel="00000000" w:rsidR="00000000" w:rsidRPr="00000000">
        <w:rPr>
          <w:rFonts w:ascii="Arial" w:cs="Arial" w:eastAsia="Arial" w:hAnsi="Arial"/>
          <w:sz w:val="24"/>
          <w:szCs w:val="24"/>
          <w:rtl w:val="0"/>
        </w:rPr>
        <w:t xml:space="preserve"> indican que, a diferencia de lo que creía Piaget, las niñas y los niños no son páginas en blanco con respecto a las matemáticas, sino que todos los seres humanos nacemos con un sentido numérico rudimentario. Es más, niñas y niños de edades muy tempranas -dos años de edad-, pueden superar las pruebas de conservación de la cantidad si se realizan pequeñas modificaciones en su metodología (experimento de Mehler y Bever). </w:t>
      </w:r>
    </w:p>
    <w:p w:rsidR="00000000" w:rsidDel="00000000" w:rsidP="00000000" w:rsidRDefault="00000000" w:rsidRPr="00000000" w14:paraId="00000033">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Todos estos descubrimientos tienen implicaciones pedagógicas, que no necesariamente proponen eliminar del todo el aprendizaje de nociones como la de “Conservación de la cantidad” -pues esta es útil para desarrollar el pensamiento lógico de las niñas y los niños-, sino que reconocen que no es necesario esperar hasta la edad escolar para iniciar</w:t>
      </w:r>
      <w:r w:rsidDel="00000000" w:rsidR="00000000" w:rsidRPr="00000000">
        <w:rPr>
          <w:rFonts w:ascii="Arial" w:cs="Arial" w:eastAsia="Arial" w:hAnsi="Arial"/>
          <w:color w:val="0070c0"/>
          <w:sz w:val="24"/>
          <w:szCs w:val="24"/>
          <w:rtl w:val="0"/>
        </w:rPr>
        <w:t xml:space="preserve"> </w:t>
      </w:r>
      <w:r w:rsidDel="00000000" w:rsidR="00000000" w:rsidRPr="00000000">
        <w:rPr>
          <w:rFonts w:ascii="Arial" w:cs="Arial" w:eastAsia="Arial" w:hAnsi="Arial"/>
          <w:sz w:val="24"/>
          <w:szCs w:val="24"/>
          <w:rtl w:val="0"/>
        </w:rPr>
        <w:t xml:space="preserve">el aprendizaje de la aritmética. En este sentido se invita a las personas docentes a no limitar la representación de procedimientos matemáticos a la manipulación de materiales concretos, sino que se les anima a brindar a las niñas y los niños diferentes representaciones mentales (imágenes) o escritas (letras y números), así como promover el aprendizaje reflexivo y cercano a situaciones de la vida real.</w:t>
      </w:r>
    </w:p>
    <w:p w:rsidR="00000000" w:rsidDel="00000000" w:rsidP="00000000" w:rsidRDefault="00000000" w:rsidRPr="00000000" w14:paraId="00000034">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Aunado a lo anterior, es también de suma importancia considerar que las matemáticas, desdichadamente, cargan con un gran peso negativo en nuestra sociedad y muchas veces se escucha a las personas decir “Es que yo no sirvo para las matemáticas”, mito que se acrecienta aún más en las mujeres y niñas. Por esta razón resulta vital crear ambientes afectivos en los que todas las niñas y los niños sepan que su cerebro está preparado para aprender matemáticas y que, aunque implique un esfuerzo, pueden lograrlo. Es entonces tarea de las personas docentes preparar ambientes matemáticamente ricos que aprovechen y potencien esta disposición innata, así como promover una disposición positiva ante este tipo de aprendizajes. Estos ambientes se pueden describir como espacios –físicos y emocionales- en los que se:</w:t>
      </w:r>
    </w:p>
    <w:p w:rsidR="00000000" w:rsidDel="00000000" w:rsidP="00000000" w:rsidRDefault="00000000" w:rsidRPr="00000000" w14:paraId="00000035">
      <w:pPr>
        <w:numPr>
          <w:ilvl w:val="0"/>
          <w:numId w:val="1"/>
        </w:numPr>
        <w:spacing w:after="0" w:line="36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Reconoce a las niñas y los niños como personas completas, con capacidad de reflexionar, proponer, tomar decisiones y formular aportes -que pueden ser diferentes, pero no por eso inferiores-. </w:t>
      </w:r>
    </w:p>
    <w:p w:rsidR="00000000" w:rsidDel="00000000" w:rsidP="00000000" w:rsidRDefault="00000000" w:rsidRPr="00000000" w14:paraId="00000036">
      <w:pPr>
        <w:numPr>
          <w:ilvl w:val="0"/>
          <w:numId w:val="1"/>
        </w:numPr>
        <w:spacing w:after="0" w:line="36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Conoce que todos los seres humanos nacemos con una capacidad innata para entender los números, que, aunque esta es una expresión rudimentaria del sentido numérico, no se debe ignorar su existencia pues implica que las niñas y niños en Primera Infancia ya están preparados para la aritmética. Este sentido numérico innato, es tan importante para la enseñanza de la matemática, como la conciencia fonológica lo es para la lectoescritura.</w:t>
      </w:r>
    </w:p>
    <w:p w:rsidR="00000000" w:rsidDel="00000000" w:rsidP="00000000" w:rsidRDefault="00000000" w:rsidRPr="00000000" w14:paraId="00000037">
      <w:pPr>
        <w:numPr>
          <w:ilvl w:val="0"/>
          <w:numId w:val="1"/>
        </w:numPr>
        <w:spacing w:after="0" w:line="36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Entiende que la mayoría de las niñas y los niños comprenden la correspondencia entre los números y las cantidades antes de iniciar la educación formal. Incluso aquellos que no han logrado este aprendizaje de forma espontánea (es decir sin instrucción directa), pueden alcanzar este desarrollo por medio de actividades lúdicas.</w:t>
      </w:r>
    </w:p>
    <w:p w:rsidR="00000000" w:rsidDel="00000000" w:rsidP="00000000" w:rsidRDefault="00000000" w:rsidRPr="00000000" w14:paraId="00000038">
      <w:pPr>
        <w:numPr>
          <w:ilvl w:val="0"/>
          <w:numId w:val="1"/>
        </w:numPr>
        <w:spacing w:after="0" w:line="36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Promueve una disposición positiva hacia las matemáticas, reforzando la idea de que todas las personas nacimos con una disposición para el aprendizaje numérico y que, aunque es necesario esforzarnos, todas y todos podemos mejorar en este campo.</w:t>
      </w:r>
    </w:p>
    <w:p w:rsidR="00000000" w:rsidDel="00000000" w:rsidP="00000000" w:rsidRDefault="00000000" w:rsidRPr="00000000" w14:paraId="00000039">
      <w:pPr>
        <w:numPr>
          <w:ilvl w:val="0"/>
          <w:numId w:val="1"/>
        </w:numPr>
        <w:spacing w:after="0" w:line="36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Rechaza cualquier estereotipo que promulgue una menor capacidad de una persona o grupo de personas para desarrollar y fortalecer conocimientos matemáticos debido a características como su género u otras. </w:t>
      </w:r>
    </w:p>
    <w:p w:rsidR="00000000" w:rsidDel="00000000" w:rsidP="00000000" w:rsidRDefault="00000000" w:rsidRPr="00000000" w14:paraId="0000003A">
      <w:pPr>
        <w:numPr>
          <w:ilvl w:val="0"/>
          <w:numId w:val="1"/>
        </w:numPr>
        <w:spacing w:after="0" w:line="36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Comprende la importancia del juego como mecanismo esencial para el aprendizaje. El juego es la estrategia preferida de las niñas y los niños para aprender, además al enfocarnos en el desarrollo de conceptos y habilidades matemáticas es vital promover un enfoque multisensorial que active el aprendizaje visual, verbal y cuantitativo.</w:t>
      </w:r>
    </w:p>
    <w:p w:rsidR="00000000" w:rsidDel="00000000" w:rsidP="00000000" w:rsidRDefault="00000000" w:rsidRPr="00000000" w14:paraId="0000003B">
      <w:pPr>
        <w:numPr>
          <w:ilvl w:val="0"/>
          <w:numId w:val="1"/>
        </w:numPr>
        <w:spacing w:after="0" w:line="36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Reconoce que cualquier niña o niño puede fortalecer sus habilidades matemáticas e incluso mejorar déficits numéricos con el apoyo adecuado.</w:t>
      </w:r>
    </w:p>
    <w:p w:rsidR="00000000" w:rsidDel="00000000" w:rsidP="00000000" w:rsidRDefault="00000000" w:rsidRPr="00000000" w14:paraId="0000003C">
      <w:pPr>
        <w:spacing w:after="0" w:line="36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D">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El “Pensamiento Crítico” para aprender matemáticas</w:t>
      </w:r>
    </w:p>
    <w:p w:rsidR="00000000" w:rsidDel="00000000" w:rsidP="00000000" w:rsidRDefault="00000000" w:rsidRPr="00000000" w14:paraId="0000003E">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La habilidad que se trabaja en este planeamiento didáctico es el “Pensamiento Crítico”, la cual es una forma de pensar y resolver problemas que implica hacer observaciones, recopilar datos, formular hipótesis, probar esas hipótesis y sacar conclusiones basadas en evidencia. Esta habilidad es complemento perfecto para un aprendizaje reflexivo de las matemáticas. </w:t>
      </w:r>
    </w:p>
    <w:p w:rsidR="00000000" w:rsidDel="00000000" w:rsidP="00000000" w:rsidRDefault="00000000" w:rsidRPr="00000000" w14:paraId="0000003F">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Específicamente al acompañar a las niñas y los niños a fortalecer su noción de “Conservación de la Cantidad” es importante alejarnos de pruebas en las que se evalúan estos conceptos desde un punto de vista adultocentrista (como lo hacía Piaget), para enfocarnos más en visibilizar los procesos de pensamiento de las niñas y los niños cuando están frente a este tipo de retos. Es decir, no solo invitar a las niñas y los niños a pensar críticamente, sino además como docentes dedicarnos a observarles, preguntar por sus ideas, los argumentos que las soportan, recopilar datos del avance en su desarrollo, probar en conjunto hipótesis y aprender con ellas y ellos.</w:t>
      </w:r>
    </w:p>
    <w:p w:rsidR="00000000" w:rsidDel="00000000" w:rsidP="00000000" w:rsidRDefault="00000000" w:rsidRPr="00000000" w14:paraId="00000040">
      <w:pPr>
        <w:spacing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 esta manera las estrategias de mediación que se sugieren en este documento invitan a las niñas y los niños a:</w:t>
      </w:r>
    </w:p>
    <w:p w:rsidR="00000000" w:rsidDel="00000000" w:rsidP="00000000" w:rsidRDefault="00000000" w:rsidRPr="00000000" w14:paraId="00000041">
      <w:pPr>
        <w:numPr>
          <w:ilvl w:val="0"/>
          <w:numId w:val="1"/>
        </w:numPr>
        <w:spacing w:after="0" w:line="36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Convertirse en protagonistas de sus procesos de aprendizaje, de manera tal que sus intereses y propuestas guíen el camino educativo, visibilizando las matemáticas en sus procesos del día a día.</w:t>
      </w:r>
    </w:p>
    <w:p w:rsidR="00000000" w:rsidDel="00000000" w:rsidP="00000000" w:rsidRDefault="00000000" w:rsidRPr="00000000" w14:paraId="00000042">
      <w:pPr>
        <w:numPr>
          <w:ilvl w:val="0"/>
          <w:numId w:val="1"/>
        </w:numPr>
        <w:spacing w:after="0" w:line="36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Aprender de forma reflexiva, lo que implica dejar atrás retos matemáticos que se alejan de su cotidianidad y que, por lo tanto, no les proveen sentido, para acercarse a los números y los cálculos a través de temáticas y retos que siguen sus intereses naturales.</w:t>
      </w:r>
    </w:p>
    <w:p w:rsidR="00000000" w:rsidDel="00000000" w:rsidP="00000000" w:rsidRDefault="00000000" w:rsidRPr="00000000" w14:paraId="00000043">
      <w:pPr>
        <w:numPr>
          <w:ilvl w:val="0"/>
          <w:numId w:val="1"/>
        </w:numPr>
        <w:spacing w:after="0" w:line="36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Aprovechar su intuición innata para las matemáticas, que, en contraposición con una aritmética memorística, les llena de confianza acerca de sus habilidades para los números y los cálculos. </w:t>
      </w:r>
    </w:p>
    <w:p w:rsidR="00000000" w:rsidDel="00000000" w:rsidP="00000000" w:rsidRDefault="00000000" w:rsidRPr="00000000" w14:paraId="00000044">
      <w:pPr>
        <w:numPr>
          <w:ilvl w:val="0"/>
          <w:numId w:val="1"/>
        </w:numPr>
        <w:spacing w:after="0" w:line="36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Participar de retos matemáticos divertidos, prácticos, relacionados con la vida real y en los que no solo se aprovecha su intuición por los números, sino que se fortalece.</w:t>
      </w:r>
    </w:p>
    <w:p w:rsidR="00000000" w:rsidDel="00000000" w:rsidP="00000000" w:rsidRDefault="00000000" w:rsidRPr="00000000" w14:paraId="00000045">
      <w:pPr>
        <w:widowControl w:val="0"/>
        <w:numPr>
          <w:ilvl w:val="0"/>
          <w:numId w:val="1"/>
        </w:numPr>
        <w:spacing w:after="0" w:line="360" w:lineRule="auto"/>
        <w:ind w:left="72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Visibilizar sus procesos de pensamiento por medio de diferentes lenguajes, ya sea de manera oral, con letras, números, dibujos y otras formas de expresión. Esto les posibilita ordenar sus ideas, escuchar las de otras personas, así como celebrar sus procesos y progresos en el aprendizaje.</w:t>
      </w:r>
    </w:p>
    <w:p w:rsidR="00000000" w:rsidDel="00000000" w:rsidP="00000000" w:rsidRDefault="00000000" w:rsidRPr="00000000" w14:paraId="00000046">
      <w:pPr>
        <w:widowControl w:val="0"/>
        <w:numPr>
          <w:ilvl w:val="0"/>
          <w:numId w:val="1"/>
        </w:numPr>
        <w:spacing w:after="0" w:line="360" w:lineRule="auto"/>
        <w:ind w:left="720" w:hanging="360"/>
        <w:jc w:val="both"/>
        <w:rPr>
          <w:rFonts w:ascii="Arial" w:cs="Arial" w:eastAsia="Arial" w:hAnsi="Arial"/>
          <w:sz w:val="24"/>
          <w:szCs w:val="24"/>
          <w:highlight w:val="white"/>
        </w:rPr>
      </w:pPr>
      <w:r w:rsidDel="00000000" w:rsidR="00000000" w:rsidRPr="00000000">
        <w:rPr>
          <w:rFonts w:ascii="Arial" w:cs="Arial" w:eastAsia="Arial" w:hAnsi="Arial"/>
          <w:sz w:val="24"/>
          <w:szCs w:val="24"/>
          <w:rtl w:val="0"/>
        </w:rPr>
        <w:t xml:space="preserve">Evaluar y argumentar sus ideas, es decir, no solo compartir lo que piensan, sino explicar el porqué de sus líneas de pensamiento, contrastándolas además con evidencia.</w:t>
      </w:r>
      <w:r w:rsidDel="00000000" w:rsidR="00000000" w:rsidRPr="00000000">
        <w:rPr>
          <w:rtl w:val="0"/>
        </w:rPr>
      </w:r>
    </w:p>
    <w:p w:rsidR="00000000" w:rsidDel="00000000" w:rsidP="00000000" w:rsidRDefault="00000000" w:rsidRPr="00000000" w14:paraId="00000047">
      <w:pPr>
        <w:widowControl w:val="0"/>
        <w:spacing w:after="0" w:line="360" w:lineRule="auto"/>
        <w:jc w:val="both"/>
        <w:rPr>
          <w:rFonts w:ascii="Arial" w:cs="Arial" w:eastAsia="Arial" w:hAnsi="Arial"/>
          <w:sz w:val="24"/>
          <w:szCs w:val="24"/>
          <w:highlight w:val="white"/>
        </w:rPr>
      </w:pPr>
      <w:r w:rsidDel="00000000" w:rsidR="00000000" w:rsidRPr="00000000">
        <w:rPr>
          <w:rtl w:val="0"/>
        </w:rPr>
      </w:r>
    </w:p>
    <w:p w:rsidR="00000000" w:rsidDel="00000000" w:rsidP="00000000" w:rsidRDefault="00000000" w:rsidRPr="00000000" w14:paraId="00000048">
      <w:pPr>
        <w:pStyle w:val="Heading2"/>
        <w:spacing w:after="40" w:before="240" w:line="360" w:lineRule="auto"/>
        <w:rPr>
          <w:rFonts w:ascii="Arial" w:cs="Arial" w:eastAsia="Arial" w:hAnsi="Arial"/>
          <w:b w:val="1"/>
          <w:color w:val="000000"/>
          <w:sz w:val="28"/>
          <w:szCs w:val="28"/>
        </w:rPr>
      </w:pPr>
      <w:bookmarkStart w:colFirst="0" w:colLast="0" w:name="_heading=h.3dy6vkm" w:id="2"/>
      <w:bookmarkEnd w:id="2"/>
      <w:r w:rsidDel="00000000" w:rsidR="00000000" w:rsidRPr="00000000">
        <w:rPr>
          <w:rFonts w:ascii="Arial" w:cs="Arial" w:eastAsia="Arial" w:hAnsi="Arial"/>
          <w:b w:val="1"/>
          <w:color w:val="000000"/>
          <w:sz w:val="28"/>
          <w:szCs w:val="28"/>
          <w:rtl w:val="0"/>
        </w:rPr>
        <w:t xml:space="preserve">Sección II. ¡Nuestra ruta!</w:t>
      </w:r>
    </w:p>
    <w:p w:rsidR="00000000" w:rsidDel="00000000" w:rsidP="00000000" w:rsidRDefault="00000000" w:rsidRPr="00000000" w14:paraId="00000049">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este apartado se detalla la ruta sugerida para acompañar a las niñas y los niños a fortalecer su noción de “Conservación de la Cantidad”. Se utiliza la metáfora de una ruta con diferentes vías de acceso (que representan las pautas para el desarrollo de la habilidad) y paradas (que hacen referencia a los indicadores de aprendizajes esperados), para recordar que el aprendizaje es un camino no lineal con avances y retrocesos, que cada niña y niño va trazando a su propio ritmo y en el que las personas docentes les acompañan de manera sensible y retadora.</w:t>
      </w:r>
    </w:p>
    <w:p w:rsidR="00000000" w:rsidDel="00000000" w:rsidP="00000000" w:rsidRDefault="00000000" w:rsidRPr="00000000" w14:paraId="0000004A">
      <w:pPr>
        <w:spacing w:after="0"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Razonamiento efectivo</w:t>
      </w:r>
      <w:r w:rsidDel="00000000" w:rsidR="00000000" w:rsidRPr="00000000">
        <w:rPr>
          <w:rtl w:val="0"/>
        </w:rPr>
      </w:r>
    </w:p>
    <w:p w:rsidR="00000000" w:rsidDel="00000000" w:rsidP="00000000" w:rsidRDefault="00000000" w:rsidRPr="00000000" w14:paraId="0000004B">
      <w:pPr>
        <w:spacing w:after="0" w:before="240" w:line="360" w:lineRule="auto"/>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Primera Parada </w:t>
      </w:r>
    </w:p>
    <w:p w:rsidR="00000000" w:rsidDel="00000000" w:rsidP="00000000" w:rsidRDefault="00000000" w:rsidRPr="00000000" w14:paraId="0000004C">
      <w:pPr>
        <w:spacing w:after="0" w:before="24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la variedad de objetos que contienen una misma cantidad de materia, para explicar problemas y preguntas en su entorno inmediato.</w:t>
      </w:r>
    </w:p>
    <w:p w:rsidR="00000000" w:rsidDel="00000000" w:rsidP="00000000" w:rsidRDefault="00000000" w:rsidRPr="00000000" w14:paraId="0000004D">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Entendiendo la predisposición innata de las niñas y los niños para aprender matemáticas, esta primera parada se enfoca en animarles a comparar cantidades como parte de actividades prácticas y lúdicas. Todas las personas nacemos con un sentido numérico que nos permite diferenciar entre dos grupos con diferente número de elementos (esto de una manera rudimentaria, pues se limita a grupos de máximo cuatro elementos), por lo tanto, las estrategias pedagógicas en esta primera parada se proponen aprovechar este talento innato, invitando a las niñas y los niños a utilizarlo en situaciones prácticas que estén guiadas por sus intereses. Siguiendo los cinco niveles de comprensión del sentido numérico que plantea Sousa (ver Recursos de apoyo), estas actividades estarían centradas en los primeros niveles, cuando es necesario acompañar a las niñas y los niños a desarrollar su sentido numérico más allá del conocimiento innato, animándoles a comparar cantidades con términos como más que/menos que o mayor/menor. Se pretende que estos procesos estén guiados por un aprendizaje reflexivo, en lugar de memorístico, en donde las niñas y los niños externen sus ideas y las evalúen.</w:t>
      </w:r>
    </w:p>
    <w:p w:rsidR="00000000" w:rsidDel="00000000" w:rsidP="00000000" w:rsidRDefault="00000000" w:rsidRPr="00000000" w14:paraId="0000004E">
      <w:pPr>
        <w:spacing w:after="0" w:before="240" w:line="360" w:lineRule="auto"/>
        <w:rPr>
          <w:rFonts w:ascii="Arial" w:cs="Arial" w:eastAsia="Arial" w:hAnsi="Arial"/>
          <w:b w:val="1"/>
          <w:color w:val="44546a"/>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Argumentación</w:t>
      </w:r>
      <w:r w:rsidDel="00000000" w:rsidR="00000000" w:rsidRPr="00000000">
        <w:rPr>
          <w:rtl w:val="0"/>
        </w:rPr>
      </w:r>
    </w:p>
    <w:p w:rsidR="00000000" w:rsidDel="00000000" w:rsidP="00000000" w:rsidRDefault="00000000" w:rsidRPr="00000000" w14:paraId="0000004F">
      <w:pPr>
        <w:spacing w:after="0" w:before="240" w:line="360" w:lineRule="auto"/>
        <w:rPr>
          <w:rFonts w:ascii="Arial" w:cs="Arial" w:eastAsia="Arial" w:hAnsi="Arial"/>
          <w:b w:val="1"/>
          <w:sz w:val="24"/>
          <w:szCs w:val="24"/>
        </w:rPr>
      </w:pPr>
      <w:r w:rsidDel="00000000" w:rsidR="00000000" w:rsidRPr="00000000">
        <w:rPr>
          <w:rFonts w:ascii="Arial" w:cs="Arial" w:eastAsia="Arial" w:hAnsi="Arial"/>
          <w:b w:val="1"/>
          <w:color w:val="44546a"/>
          <w:sz w:val="24"/>
          <w:szCs w:val="24"/>
          <w:rtl w:val="0"/>
        </w:rPr>
        <w:t xml:space="preserve">Segunda Parada</w:t>
      </w:r>
      <w:r w:rsidDel="00000000" w:rsidR="00000000" w:rsidRPr="00000000">
        <w:rPr>
          <w:rtl w:val="0"/>
        </w:rPr>
      </w:r>
    </w:p>
    <w:p w:rsidR="00000000" w:rsidDel="00000000" w:rsidP="00000000" w:rsidRDefault="00000000" w:rsidRPr="00000000" w14:paraId="00000050">
      <w:pPr>
        <w:spacing w:after="0" w:before="24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Construye la noción de conservación de la cantidad, al modificar la forma de los objetos que se encuentran en su entorno inmediato. </w:t>
      </w:r>
    </w:p>
    <w:p w:rsidR="00000000" w:rsidDel="00000000" w:rsidP="00000000" w:rsidRDefault="00000000" w:rsidRPr="00000000" w14:paraId="00000051">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Para esta segunda parada, se propone a las niñas y los niños participar en tareas cotidianas, provocaciones y juegos en los que manipulen la forma o posición de distintos objetos, entendiendo que este tipo de variaciones no modifica su cantidad de materia. En esencia estas estrategias de mediación están centradas en mantener vivo el interés innato de las niñas y los niños por aprender y específicamente por utilizar sus habilidades matemáticas para comprender el mundo que les rodea y superar retos. Resulta esencial que a través de estas actividades relacionen las matemáticas con emociones placenteras y satisfacción de necesidades (ej. diversión, aprendizaje, autonomía, sentido de logro). Desdichadamente las matemáticas cargan un peso social negativo –en especial para las </w:t>
      </w:r>
      <w:r w:rsidDel="00000000" w:rsidR="00000000" w:rsidRPr="00000000">
        <w:rPr>
          <w:rFonts w:ascii="Arial" w:cs="Arial" w:eastAsia="Arial" w:hAnsi="Arial"/>
          <w:color w:val="000000"/>
          <w:sz w:val="24"/>
          <w:szCs w:val="24"/>
          <w:rtl w:val="0"/>
        </w:rPr>
        <w:t xml:space="preserve">mujeres y las niñas-, sin embargo, se ha estudiado </w:t>
      </w:r>
      <w:r w:rsidDel="00000000" w:rsidR="00000000" w:rsidRPr="00000000">
        <w:rPr>
          <w:rFonts w:ascii="Arial" w:cs="Arial" w:eastAsia="Arial" w:hAnsi="Arial"/>
          <w:sz w:val="24"/>
          <w:szCs w:val="24"/>
          <w:rtl w:val="0"/>
        </w:rPr>
        <w:t xml:space="preserve">que cuando se refuerzan el talento innato de las personas para este tipo de retos y se les asocia con experiencias positivas, estos sesgos pueden modificarse, por lo que uno de los principales objetivos de estas estrategias de mediación es que las niñas y los niños reconozcan y celebren sus habilidades para resolver retos matemáticos. </w:t>
      </w:r>
    </w:p>
    <w:p w:rsidR="00000000" w:rsidDel="00000000" w:rsidP="00000000" w:rsidRDefault="00000000" w:rsidRPr="00000000" w14:paraId="00000052">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Toma de decisiones </w:t>
      </w:r>
    </w:p>
    <w:p w:rsidR="00000000" w:rsidDel="00000000" w:rsidP="00000000" w:rsidRDefault="00000000" w:rsidRPr="00000000" w14:paraId="00000053">
      <w:pPr>
        <w:spacing w:after="0" w:before="240" w:line="360" w:lineRule="auto"/>
        <w:rPr>
          <w:rFonts w:ascii="Arial" w:cs="Arial" w:eastAsia="Arial" w:hAnsi="Arial"/>
          <w:sz w:val="24"/>
          <w:szCs w:val="24"/>
        </w:rPr>
      </w:pPr>
      <w:r w:rsidDel="00000000" w:rsidR="00000000" w:rsidRPr="00000000">
        <w:rPr>
          <w:rFonts w:ascii="Arial" w:cs="Arial" w:eastAsia="Arial" w:hAnsi="Arial"/>
          <w:b w:val="1"/>
          <w:color w:val="44546a"/>
          <w:sz w:val="24"/>
          <w:szCs w:val="24"/>
          <w:rtl w:val="0"/>
        </w:rPr>
        <w:t xml:space="preserve">Fin de la estación</w:t>
      </w:r>
      <w:r w:rsidDel="00000000" w:rsidR="00000000" w:rsidRPr="00000000">
        <w:rPr>
          <w:rtl w:val="0"/>
        </w:rPr>
      </w:r>
    </w:p>
    <w:p w:rsidR="00000000" w:rsidDel="00000000" w:rsidP="00000000" w:rsidRDefault="00000000" w:rsidRPr="00000000" w14:paraId="00000054">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Adquiere progresivamente, la noción de conservación de la cantidad de los objetos, para la toma de decisiones.</w:t>
      </w:r>
    </w:p>
    <w:p w:rsidR="00000000" w:rsidDel="00000000" w:rsidP="00000000" w:rsidRDefault="00000000" w:rsidRPr="00000000" w14:paraId="00000055">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Las niñas y los niños en esta tercera parada se enfrentan a retos en los que es necesario utilizar su sentido numérico para tomar decisiones, específicamente entendiendo que las cantidades no cambian cuando se modifica su forma o la posición de las partes. Se sabe que niñas y niños de incluso 2 años de edad, ya tienen una noción de conservación de la cantidad, por lo que estas estrategias de mediación no van a estar centradas en probar este conocimiento, sino en que las niñas y los niños puedan utilizarlo para tomar decisiones en situaciones guiadas por sus intereses y que durante estos retos puedan hacer visibles sus procesos de pensamiento. Todo esto con el objetivo de reafirmarles su capacidad para aprender sobre matemáticas, pensar de manera crítica e impactar el mundo que les rodea.</w:t>
      </w:r>
    </w:p>
    <w:p w:rsidR="00000000" w:rsidDel="00000000" w:rsidP="00000000" w:rsidRDefault="00000000" w:rsidRPr="00000000" w14:paraId="00000056">
      <w:pPr>
        <w:spacing w:after="0" w:before="240" w:line="36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7">
      <w:pPr>
        <w:pStyle w:val="Heading2"/>
        <w:spacing w:after="40" w:before="240" w:line="360" w:lineRule="auto"/>
        <w:rPr>
          <w:rFonts w:ascii="Arial" w:cs="Arial" w:eastAsia="Arial" w:hAnsi="Arial"/>
          <w:b w:val="1"/>
          <w:color w:val="000000"/>
          <w:sz w:val="28"/>
          <w:szCs w:val="28"/>
        </w:rPr>
      </w:pPr>
      <w:bookmarkStart w:colFirst="0" w:colLast="0" w:name="_heading=h.17dp8vu" w:id="3"/>
      <w:bookmarkEnd w:id="3"/>
      <w:r w:rsidDel="00000000" w:rsidR="00000000" w:rsidRPr="00000000">
        <w:rPr>
          <w:rFonts w:ascii="Arial" w:cs="Arial" w:eastAsia="Arial" w:hAnsi="Arial"/>
          <w:b w:val="1"/>
          <w:color w:val="000000"/>
          <w:sz w:val="28"/>
          <w:szCs w:val="28"/>
          <w:rtl w:val="0"/>
        </w:rPr>
        <w:t xml:space="preserve">Sección III. ¡Anotado! Palabras claves </w:t>
      </w:r>
    </w:p>
    <w:p w:rsidR="00000000" w:rsidDel="00000000" w:rsidP="00000000" w:rsidRDefault="00000000" w:rsidRPr="00000000" w14:paraId="00000058">
      <w:pPr>
        <w:spacing w:after="384" w:line="360" w:lineRule="auto"/>
        <w:rPr>
          <w:rFonts w:ascii="Arial" w:cs="Arial" w:eastAsia="Arial" w:hAnsi="Arial"/>
          <w:sz w:val="24"/>
          <w:szCs w:val="24"/>
        </w:rPr>
      </w:pPr>
      <w:bookmarkStart w:colFirst="0" w:colLast="0" w:name="_heading=h.tyjcwt" w:id="4"/>
      <w:bookmarkEnd w:id="4"/>
      <w:r w:rsidDel="00000000" w:rsidR="00000000" w:rsidRPr="00000000">
        <w:rPr>
          <w:rFonts w:ascii="Arial" w:cs="Arial" w:eastAsia="Arial" w:hAnsi="Arial"/>
          <w:sz w:val="24"/>
          <w:szCs w:val="24"/>
          <w:rtl w:val="0"/>
        </w:rPr>
        <w:t xml:space="preserve">Los conceptos que se definen a continuación son claves para la puesta en práctica de las estrategias de mediación correspondientes a este aprendizaje esperado. Están formulados específicamente para esta temática y a la vez tomando ideas de diversas áreas e investigaciones que podrá encontrar en las referencias al final de este documento. </w:t>
      </w:r>
    </w:p>
    <w:p w:rsidR="00000000" w:rsidDel="00000000" w:rsidP="00000000" w:rsidRDefault="00000000" w:rsidRPr="00000000" w14:paraId="00000059">
      <w:pPr>
        <w:pBdr>
          <w:top w:space="0" w:sz="0" w:val="nil"/>
          <w:left w:space="0" w:sz="0" w:val="nil"/>
          <w:bottom w:space="0" w:sz="0" w:val="nil"/>
          <w:right w:space="0" w:sz="0" w:val="nil"/>
          <w:between w:space="0" w:sz="0" w:val="nil"/>
        </w:pBdr>
        <w:spacing w:after="0" w:before="240" w:line="360" w:lineRule="auto"/>
        <w:rPr>
          <w:rFonts w:ascii="Arial" w:cs="Arial" w:eastAsia="Arial" w:hAnsi="Arial"/>
          <w:sz w:val="24"/>
          <w:szCs w:val="24"/>
          <w:highlight w:val="white"/>
        </w:rPr>
      </w:pPr>
      <w:r w:rsidDel="00000000" w:rsidR="00000000" w:rsidRPr="00000000">
        <w:rPr>
          <w:rFonts w:ascii="Arial" w:cs="Arial" w:eastAsia="Arial" w:hAnsi="Arial"/>
          <w:b w:val="1"/>
          <w:sz w:val="24"/>
          <w:szCs w:val="24"/>
          <w:rtl w:val="0"/>
        </w:rPr>
        <w:t xml:space="preserve">Ambiente: </w:t>
      </w:r>
      <w:r w:rsidDel="00000000" w:rsidR="00000000" w:rsidRPr="00000000">
        <w:rPr>
          <w:rFonts w:ascii="Arial" w:cs="Arial" w:eastAsia="Arial" w:hAnsi="Arial"/>
          <w:sz w:val="24"/>
          <w:szCs w:val="24"/>
          <w:rtl w:val="0"/>
        </w:rPr>
        <w:t xml:space="preserve">en los centros educativos el ambiente representa un tercer maestro, que puede impulsar u obstaculizar el desarrollo y bienestar de las personas,</w:t>
      </w:r>
      <w:r w:rsidDel="00000000" w:rsidR="00000000" w:rsidRPr="00000000">
        <w:rPr>
          <w:rFonts w:ascii="Arial" w:cs="Arial" w:eastAsia="Arial" w:hAnsi="Arial"/>
          <w:sz w:val="24"/>
          <w:szCs w:val="24"/>
          <w:highlight w:val="white"/>
          <w:rtl w:val="0"/>
        </w:rPr>
        <w:t xml:space="preserve"> especialmente de las niñas y los niños. Esto incluye factores físicos (los componentes estructurales), factores afectivos (relaciones y estrategias para satisfacer necesidades) y factores pedagógicos (estrategias pedagógicas basadas en evidencia y que </w:t>
      </w:r>
      <w:r w:rsidDel="00000000" w:rsidR="00000000" w:rsidRPr="00000000">
        <w:rPr>
          <w:rFonts w:ascii="Arial" w:cs="Arial" w:eastAsia="Arial" w:hAnsi="Arial"/>
          <w:color w:val="000000"/>
          <w:sz w:val="24"/>
          <w:szCs w:val="24"/>
          <w:highlight w:val="white"/>
          <w:rtl w:val="0"/>
        </w:rPr>
        <w:t xml:space="preserve">tomen en cuenta la diversidad). Los ambientes seguros se caracterizan como espacios afectivos para estar (en donde se prioriza la</w:t>
      </w:r>
      <w:r w:rsidDel="00000000" w:rsidR="00000000" w:rsidRPr="00000000">
        <w:rPr>
          <w:rFonts w:ascii="Arial" w:cs="Arial" w:eastAsia="Arial" w:hAnsi="Arial"/>
          <w:sz w:val="24"/>
          <w:szCs w:val="24"/>
          <w:highlight w:val="white"/>
          <w:rtl w:val="0"/>
        </w:rPr>
        <w:t xml:space="preserve"> construcción de vínculos seguros y espacios libres de violencia), hacer (en donde se reconoce la capacidad de las niñas y los niños, acompañándoles y retándoles al mismo tiempo) y ser (en donde se respeta la individualidad de cada niña y niño, escuchando sus ideas, sentimientos, necesidades y sensaciones).</w:t>
      </w:r>
    </w:p>
    <w:p w:rsidR="00000000" w:rsidDel="00000000" w:rsidP="00000000" w:rsidRDefault="00000000" w:rsidRPr="00000000" w14:paraId="0000005A">
      <w:pPr>
        <w:spacing w:after="0" w:before="240" w:line="360" w:lineRule="auto"/>
        <w:rPr>
          <w:rFonts w:ascii="Arial" w:cs="Arial" w:eastAsia="Arial" w:hAnsi="Arial"/>
          <w:sz w:val="24"/>
          <w:szCs w:val="24"/>
          <w:highlight w:val="white"/>
        </w:rPr>
      </w:pPr>
      <w:r w:rsidDel="00000000" w:rsidR="00000000" w:rsidRPr="00000000">
        <w:rPr>
          <w:rFonts w:ascii="Arial" w:cs="Arial" w:eastAsia="Arial" w:hAnsi="Arial"/>
          <w:b w:val="1"/>
          <w:sz w:val="24"/>
          <w:szCs w:val="24"/>
          <w:rtl w:val="0"/>
        </w:rPr>
        <w:t xml:space="preserve">Argumentación: </w:t>
      </w:r>
      <w:r w:rsidDel="00000000" w:rsidR="00000000" w:rsidRPr="00000000">
        <w:rPr>
          <w:rFonts w:ascii="Arial" w:cs="Arial" w:eastAsia="Arial" w:hAnsi="Arial"/>
          <w:sz w:val="24"/>
          <w:szCs w:val="24"/>
          <w:highlight w:val="white"/>
          <w:rtl w:val="0"/>
        </w:rPr>
        <w:t xml:space="preserve">es un indicador de la habilidad de pensamiento crítico, el cual promueve que las niñas y los niños fundamenten su pensamiento con precisión, evidencia, enunciados, gráficas y preguntas, entre otros. Para lograr esto se debe empezar por reconocer que las niñas y los niños son seres capaces y que sus ideas pueden ser diferentes a las de las personas adultas, pero no por eso inferiores. Aunado a esto, es imprescindible abrir espacios para que se expresen, acompañarles a hacer su pensamiento visible, así como guiarles a verificar y defender sus ideas, escuchar otros argumentos e incluso cambiar de opinión. </w:t>
      </w:r>
    </w:p>
    <w:p w:rsidR="00000000" w:rsidDel="00000000" w:rsidP="00000000" w:rsidRDefault="00000000" w:rsidRPr="00000000" w14:paraId="0000005B">
      <w:pPr>
        <w:spacing w:after="0"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Autonomía progresiva:</w:t>
      </w:r>
      <w:r w:rsidDel="00000000" w:rsidR="00000000" w:rsidRPr="00000000">
        <w:rPr>
          <w:rFonts w:ascii="Arial" w:cs="Arial" w:eastAsia="Arial" w:hAnsi="Arial"/>
          <w:color w:val="000000"/>
          <w:sz w:val="24"/>
          <w:szCs w:val="24"/>
          <w:rtl w:val="0"/>
        </w:rPr>
        <w:t xml:space="preserve"> la autonomía se comprende como la capacidad que tienen las niñas y los niños para ejercer su libertad, realizar actividades en forma independiente, tomar decisiones cotidianas y actuar por iniciativa propia y así desarrollarse e impactar sus entornos. El término progresiva, hace referencia a que esta es una capacidad que se desarrolla de manera paulatina, cada quien a su propio ritmo, en un proceso con avances y retrocesos.</w:t>
      </w:r>
    </w:p>
    <w:p w:rsidR="00000000" w:rsidDel="00000000" w:rsidP="00000000" w:rsidRDefault="00000000" w:rsidRPr="00000000" w14:paraId="0000005C">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Bienestar: </w:t>
      </w:r>
      <w:r w:rsidDel="00000000" w:rsidR="00000000" w:rsidRPr="00000000">
        <w:rPr>
          <w:rFonts w:ascii="Arial" w:cs="Arial" w:eastAsia="Arial" w:hAnsi="Arial"/>
          <w:sz w:val="24"/>
          <w:szCs w:val="24"/>
          <w:rtl w:val="0"/>
        </w:rPr>
        <w:t xml:space="preserve">estado que resulta de la sinergia de diversas experiencias vitales (autonomía, objetivos vitales, auto-aceptación, relaciones significativas, disfrute ambiental y crecimiento personal). En la infancia estas experiencias se van instaurando de manera paulatina y en espacios cotidianos, cuando se desenvuelven en ambientes respetuosos, empáticos y sensibles.</w:t>
      </w:r>
    </w:p>
    <w:p w:rsidR="00000000" w:rsidDel="00000000" w:rsidP="00000000" w:rsidRDefault="00000000" w:rsidRPr="00000000" w14:paraId="0000005D">
      <w:pPr>
        <w:spacing w:after="0" w:before="240" w:line="360" w:lineRule="auto"/>
        <w:rPr>
          <w:rFonts w:ascii="Arial" w:cs="Arial" w:eastAsia="Arial" w:hAnsi="Arial"/>
          <w:color w:val="000000"/>
          <w:sz w:val="24"/>
          <w:szCs w:val="24"/>
        </w:rPr>
      </w:pPr>
      <w:r w:rsidDel="00000000" w:rsidR="00000000" w:rsidRPr="00000000">
        <w:rPr>
          <w:rFonts w:ascii="Arial" w:cs="Arial" w:eastAsia="Arial" w:hAnsi="Arial"/>
          <w:b w:val="1"/>
          <w:sz w:val="24"/>
          <w:szCs w:val="24"/>
          <w:rtl w:val="0"/>
        </w:rPr>
        <w:t xml:space="preserve">Centro infantil democrático:</w:t>
      </w:r>
      <w:r w:rsidDel="00000000" w:rsidR="00000000" w:rsidRPr="00000000">
        <w:rPr>
          <w:rFonts w:ascii="Arial" w:cs="Arial" w:eastAsia="Arial" w:hAnsi="Arial"/>
          <w:sz w:val="24"/>
          <w:szCs w:val="24"/>
          <w:rtl w:val="0"/>
        </w:rPr>
        <w:t xml:space="preserve"> los centros infantiles democráticos, más que entornos físicos, son espacios que se construyen día con día para generar las condiciones idóneas que les permitan a las niñas, los niños y las personas adultas vivir sus derechos y deberes ciudadanos, en una convivencia solidaria entre sí, a la vez que son correspondidas sus necesidades psicoafectivas. En estos centros se prioriza la protección, afectividad y fortalecimiento de capacidades.</w:t>
      </w:r>
      <w:r w:rsidDel="00000000" w:rsidR="00000000" w:rsidRPr="00000000">
        <w:rPr>
          <w:rtl w:val="0"/>
        </w:rPr>
      </w:r>
    </w:p>
    <w:p w:rsidR="00000000" w:rsidDel="00000000" w:rsidP="00000000" w:rsidRDefault="00000000" w:rsidRPr="00000000" w14:paraId="0000005E">
      <w:pPr>
        <w:spacing w:after="0" w:before="240" w:line="360" w:lineRule="auto"/>
        <w:rPr>
          <w:rFonts w:ascii="Arial" w:cs="Arial" w:eastAsia="Arial" w:hAnsi="Arial"/>
          <w:sz w:val="24"/>
          <w:szCs w:val="24"/>
          <w:highlight w:val="white"/>
        </w:rPr>
      </w:pPr>
      <w:r w:rsidDel="00000000" w:rsidR="00000000" w:rsidRPr="00000000">
        <w:rPr>
          <w:rFonts w:ascii="Arial" w:cs="Arial" w:eastAsia="Arial" w:hAnsi="Arial"/>
          <w:b w:val="1"/>
          <w:sz w:val="24"/>
          <w:szCs w:val="24"/>
          <w:rtl w:val="0"/>
        </w:rPr>
        <w:t xml:space="preserve">Conciencia numérica emergente: </w:t>
      </w:r>
      <w:r w:rsidDel="00000000" w:rsidR="00000000" w:rsidRPr="00000000">
        <w:rPr>
          <w:rFonts w:ascii="Arial" w:cs="Arial" w:eastAsia="Arial" w:hAnsi="Arial"/>
          <w:sz w:val="24"/>
          <w:szCs w:val="24"/>
          <w:highlight w:val="white"/>
          <w:rtl w:val="0"/>
        </w:rPr>
        <w:t xml:space="preserve">se refiere al desarrollo gradual en las niñas y los niños de la comprensión de los números y sus relaciones. Los seres humanos nacemos con un sentido numérico rudimentario que es producto de la evolución como especie, es decir este es como una semilla que se debe desarrollar. Este desarrollo ocurre en diferentes contextos, incluidos los centros educativos, conforme las niñas y los niños exploran e interactuar con los números en su entorno cotidiano. Promover la conciencia numérica emergente en la Primera Infancia tiene beneficios de gran alcance para las niñas y los niños, tanto en su vida académica como personal, ya que ayuda a sentar las bases para el aprendizaje matemático, proporciona habilidades cognitivas esenciales y desarrolla habilidades de resolución de problemas las cuales pueden usar en todas las áreas de sus vidas.</w:t>
      </w:r>
    </w:p>
    <w:p w:rsidR="00000000" w:rsidDel="00000000" w:rsidP="00000000" w:rsidRDefault="00000000" w:rsidRPr="00000000" w14:paraId="0000005F">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Conservación de la cantidad: </w:t>
      </w:r>
      <w:r w:rsidDel="00000000" w:rsidR="00000000" w:rsidRPr="00000000">
        <w:rPr>
          <w:rFonts w:ascii="Arial" w:cs="Arial" w:eastAsia="Arial" w:hAnsi="Arial"/>
          <w:sz w:val="24"/>
          <w:szCs w:val="24"/>
          <w:rtl w:val="0"/>
        </w:rPr>
        <w:t xml:space="preserve">aprendizaje que refiere a entender que las cantidades permanecen constantes, sin importar cambios en su forma o en la posición de sus partes. A raíz de los experimentos piagetianos de conservación de la cantidad se pensó que las niñas y los niños alcanzan este conocimiento </w:t>
      </w:r>
    </w:p>
    <w:p w:rsidR="00000000" w:rsidDel="00000000" w:rsidP="00000000" w:rsidRDefault="00000000" w:rsidRPr="00000000" w14:paraId="00000060">
      <w:pPr>
        <w:spacing w:after="0" w:before="240" w:line="360" w:lineRule="auto"/>
        <w:rPr>
          <w:rFonts w:ascii="Arial" w:cs="Arial" w:eastAsia="Arial" w:hAnsi="Arial"/>
          <w:sz w:val="24"/>
          <w:szCs w:val="24"/>
          <w:highlight w:val="white"/>
        </w:rPr>
      </w:pPr>
      <w:r w:rsidDel="00000000" w:rsidR="00000000" w:rsidRPr="00000000">
        <w:rPr>
          <w:rFonts w:ascii="Arial" w:cs="Arial" w:eastAsia="Arial" w:hAnsi="Arial"/>
          <w:b w:val="1"/>
          <w:sz w:val="24"/>
          <w:szCs w:val="24"/>
          <w:rtl w:val="0"/>
        </w:rPr>
        <w:t xml:space="preserve">Creación artística: </w:t>
      </w:r>
      <w:r w:rsidDel="00000000" w:rsidR="00000000" w:rsidRPr="00000000">
        <w:rPr>
          <w:rFonts w:ascii="Arial" w:cs="Arial" w:eastAsia="Arial" w:hAnsi="Arial"/>
          <w:sz w:val="24"/>
          <w:szCs w:val="24"/>
          <w:highlight w:val="white"/>
          <w:rtl w:val="0"/>
        </w:rPr>
        <w:t xml:space="preserve">realización de una representación gráfica ya sea bidimensional o tridimensional. Puede incluir tales como artes escénicas (bailes, coreografías, cuenta cuentos, danzas folclóricas, poesía coral, teatro, pasacalles, títeres, entre otros), artes visuales (dibujo, escultura, pintura, grafiti, producción audiovisual, fotografía, entre otros), artes literarias (cuentos, leyendas, poesías, fábulas, trabalenguas, rimas, retahílas, entre otros), artes musicales (canciones, coros, bandas, cimarronas, exploración y creación de instrumentos musicales, entre otros).</w:t>
      </w:r>
    </w:p>
    <w:p w:rsidR="00000000" w:rsidDel="00000000" w:rsidP="00000000" w:rsidRDefault="00000000" w:rsidRPr="00000000" w14:paraId="00000061">
      <w:pPr>
        <w:spacing w:after="0"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Cuantificadores:</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highlight w:val="white"/>
          <w:rtl w:val="0"/>
        </w:rPr>
        <w:t xml:space="preserve">son palabras que indican la cantidad de un objeto, hecho o fenómeno, por ejemplo: algunos, todos, muchos, pocos, ninguno, igual, más y menos. Los cuantificadores son importantes para que las niñas y los niños aprendan a contar, medir y pesar objetos, así como a describir el tamaño y la cantidad de cosas.</w:t>
      </w:r>
      <w:r w:rsidDel="00000000" w:rsidR="00000000" w:rsidRPr="00000000">
        <w:rPr>
          <w:rtl w:val="0"/>
        </w:rPr>
      </w:r>
    </w:p>
    <w:p w:rsidR="00000000" w:rsidDel="00000000" w:rsidP="00000000" w:rsidRDefault="00000000" w:rsidRPr="00000000" w14:paraId="00000062">
      <w:pPr>
        <w:spacing w:after="0"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Derechos de las Niñas y los Niños:</w:t>
      </w:r>
      <w:r w:rsidDel="00000000" w:rsidR="00000000" w:rsidRPr="00000000">
        <w:rPr>
          <w:rFonts w:ascii="Arial" w:cs="Arial" w:eastAsia="Arial" w:hAnsi="Arial"/>
          <w:sz w:val="24"/>
          <w:szCs w:val="24"/>
          <w:rtl w:val="0"/>
        </w:rPr>
        <w:t xml:space="preserve"> las niñas, los niños y las personas adolescentes están </w:t>
      </w:r>
      <w:r w:rsidDel="00000000" w:rsidR="00000000" w:rsidRPr="00000000">
        <w:rPr>
          <w:rFonts w:ascii="Arial" w:cs="Arial" w:eastAsia="Arial" w:hAnsi="Arial"/>
          <w:color w:val="000000"/>
          <w:sz w:val="24"/>
          <w:szCs w:val="24"/>
          <w:rtl w:val="0"/>
        </w:rPr>
        <w:t xml:space="preserve">cubiertas o protegidas por </w:t>
      </w:r>
      <w:r w:rsidDel="00000000" w:rsidR="00000000" w:rsidRPr="00000000">
        <w:rPr>
          <w:rFonts w:ascii="Arial" w:cs="Arial" w:eastAsia="Arial" w:hAnsi="Arial"/>
          <w:sz w:val="24"/>
          <w:szCs w:val="24"/>
          <w:rtl w:val="0"/>
        </w:rPr>
        <w:t xml:space="preserve">los Derechos Humanos porque son personas. Además, les protegen una serie de derechos específicos, ya que debido a su edad tienen condiciones especiales; estos son los Derechos de las Niñas y los Niños. Estos derechos advierten que las niñas, los niños y las personas adolescentes no son propiedad de sus familias, sino que son personas completas, titulares de sus propios derechos. Es decir, los Derechos de las Niñas y los Niños reconocen la condición ciudadana de todas las personas menores de edad, a la vez que enfatizan la necesidad de que como sociedad -personas cuidadoras, docentes, comunidades y gobiernos- velemos por su bienestar y su desarrollo. </w:t>
      </w:r>
    </w:p>
    <w:p w:rsidR="00000000" w:rsidDel="00000000" w:rsidP="00000000" w:rsidRDefault="00000000" w:rsidRPr="00000000" w14:paraId="00000063">
      <w:pPr>
        <w:spacing w:after="0"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Derechos de participación</w:t>
      </w:r>
      <w:r w:rsidDel="00000000" w:rsidR="00000000" w:rsidRPr="00000000">
        <w:rPr>
          <w:rFonts w:ascii="Arial" w:cs="Arial" w:eastAsia="Arial" w:hAnsi="Arial"/>
          <w:sz w:val="24"/>
          <w:szCs w:val="24"/>
          <w:rtl w:val="0"/>
        </w:rPr>
        <w:t xml:space="preserve">: la participación es uno de los derechos de las niñas y los niños, además es uno de los cuatro pilares de la Convención sobre los Derechos del Niño (en la que además destaca el derecho a la no discriminación; interés superior del niño y el derecho a la vida, la supervivencia y el desarrollo). Los derechos no se pueden priorizar, es decir, ninguno es más importante que otro. Sin embargo, los derechos de participación muchas veces quedan olvidados para la población infantil y es por eso que se enfatizan en este documento. Algunos de estos derechos son: construir una opinión informada, expresar libremente su opinión, que se les escuche y compartir decisiones que les afectan (su vida personal, centro educativo o entorno comunitario).</w:t>
      </w:r>
    </w:p>
    <w:p w:rsidR="00000000" w:rsidDel="00000000" w:rsidP="00000000" w:rsidRDefault="00000000" w:rsidRPr="00000000" w14:paraId="00000064">
      <w:pPr>
        <w:spacing w:after="0"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Derechos Humanos: </w:t>
      </w:r>
      <w:r w:rsidDel="00000000" w:rsidR="00000000" w:rsidRPr="00000000">
        <w:rPr>
          <w:rFonts w:ascii="Arial" w:cs="Arial" w:eastAsia="Arial" w:hAnsi="Arial"/>
          <w:sz w:val="24"/>
          <w:szCs w:val="24"/>
          <w:rtl w:val="0"/>
        </w:rPr>
        <w:t xml:space="preserve">todos </w:t>
      </w:r>
      <w:r w:rsidDel="00000000" w:rsidR="00000000" w:rsidRPr="00000000">
        <w:rPr>
          <w:rFonts w:ascii="Arial" w:cs="Arial" w:eastAsia="Arial" w:hAnsi="Arial"/>
          <w:sz w:val="24"/>
          <w:szCs w:val="24"/>
          <w:highlight w:val="white"/>
          <w:rtl w:val="0"/>
        </w:rPr>
        <w:t xml:space="preserve">los derechos y libertades básicos que tiene toda persona, independientemente de su raza, género, etnia o cualquier otra característica. </w:t>
      </w:r>
      <w:r w:rsidDel="00000000" w:rsidR="00000000" w:rsidRPr="00000000">
        <w:rPr>
          <w:rtl w:val="0"/>
        </w:rPr>
      </w:r>
    </w:p>
    <w:p w:rsidR="00000000" w:rsidDel="00000000" w:rsidP="00000000" w:rsidRDefault="00000000" w:rsidRPr="00000000" w14:paraId="00000065">
      <w:pPr>
        <w:spacing w:after="0"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Discriminación: </w:t>
      </w:r>
      <w:r w:rsidDel="00000000" w:rsidR="00000000" w:rsidRPr="00000000">
        <w:rPr>
          <w:rFonts w:ascii="Arial" w:cs="Arial" w:eastAsia="Arial" w:hAnsi="Arial"/>
          <w:sz w:val="24"/>
          <w:szCs w:val="24"/>
          <w:rtl w:val="0"/>
        </w:rPr>
        <w:t xml:space="preserve">cualquier acto u omisión, que conlleve dar un trato desigual a una o varias personas por motivos raciales, religiosos, políticos, de orientación sexual, de edad, de cultura, de condición física o mental, o cualquier otra característica aquí no mencionada relacionada con su persona. </w:t>
      </w:r>
    </w:p>
    <w:p w:rsidR="00000000" w:rsidDel="00000000" w:rsidP="00000000" w:rsidRDefault="00000000" w:rsidRPr="00000000" w14:paraId="00000066">
      <w:pPr>
        <w:spacing w:after="0"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Enfoque de derechos y responsabilidades:</w:t>
      </w:r>
      <w:r w:rsidDel="00000000" w:rsidR="00000000" w:rsidRPr="00000000">
        <w:rPr>
          <w:rFonts w:ascii="Arial" w:cs="Arial" w:eastAsia="Arial" w:hAnsi="Arial"/>
          <w:sz w:val="24"/>
          <w:szCs w:val="24"/>
          <w:rtl w:val="0"/>
        </w:rPr>
        <w:t xml:space="preserve"> este enfoque reconoce a las niñas, los niños y las personas adolescentes como individuos con derechos humanos por su condición de personas, con derechos específicos relacionados con su edad y con derechos especiales de protección ante situaciones de peligro que amenacen su desarrollo. En coherencia con estos derechos, se les visibiliza como personas competentes, capaces de reflexionar, tomar decisiones, proponer y transformar los espacios en los que se desenvuelven. A la vez se identifica a las personas cuidadoras, docentes, </w:t>
      </w:r>
      <w:r w:rsidDel="00000000" w:rsidR="00000000" w:rsidRPr="00000000">
        <w:rPr>
          <w:rFonts w:ascii="Arial" w:cs="Arial" w:eastAsia="Arial" w:hAnsi="Arial"/>
          <w:color w:val="000000"/>
          <w:sz w:val="24"/>
          <w:szCs w:val="24"/>
          <w:rtl w:val="0"/>
        </w:rPr>
        <w:t xml:space="preserve">comunidades y gobiernos como responsables de proteger esos derechos, junto con las niñas y los niños. Por lo tanto, este enfoque promulga que todas y todos debemos relacionarnos con la niñez con respeto, cuidarles, educarles y garantizar que tengan acceso a servicios integrales, además de identificar situaciones de vulneración de sus derechos para prevenirlas o denunciarlas</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067">
      <w:pPr>
        <w:pBdr>
          <w:top w:space="0" w:sz="0" w:val="nil"/>
          <w:left w:space="0" w:sz="0" w:val="nil"/>
          <w:bottom w:space="0" w:sz="0" w:val="nil"/>
          <w:right w:space="0" w:sz="0" w:val="nil"/>
          <w:between w:space="0" w:sz="0" w:val="nil"/>
        </w:pBdr>
        <w:spacing w:after="0" w:before="240" w:line="360" w:lineRule="auto"/>
        <w:rPr>
          <w:rFonts w:ascii="Arial" w:cs="Arial" w:eastAsia="Arial" w:hAnsi="Arial"/>
          <w:color w:val="000000"/>
          <w:sz w:val="24"/>
          <w:szCs w:val="24"/>
        </w:rPr>
      </w:pPr>
      <w:r w:rsidDel="00000000" w:rsidR="00000000" w:rsidRPr="00000000">
        <w:rPr>
          <w:rFonts w:ascii="Arial" w:cs="Arial" w:eastAsia="Arial" w:hAnsi="Arial"/>
          <w:b w:val="1"/>
          <w:sz w:val="24"/>
          <w:szCs w:val="24"/>
          <w:rtl w:val="0"/>
        </w:rPr>
        <w:t xml:space="preserve">Igualdad de género: </w:t>
      </w:r>
      <w:r w:rsidDel="00000000" w:rsidR="00000000" w:rsidRPr="00000000">
        <w:rPr>
          <w:rFonts w:ascii="Arial" w:cs="Arial" w:eastAsia="Arial" w:hAnsi="Arial"/>
          <w:sz w:val="24"/>
          <w:szCs w:val="24"/>
          <w:rtl w:val="0"/>
        </w:rPr>
        <w:t xml:space="preserve">enfoque que busca transformar las ideas y acciones que privilegian o priorizan rutinariamente a un género sobre otro, de manera que todas las personas sean reconocidas, respetadas y valoradas por sus capacidades y potencialidades. Se impulsa el análisis crítico de todos aquellos condicionamientos sociales que establecen que hombres y mujeres deben seguir formas diferenciadas de ser, pensar y hacer; ya que estos patrones históricamente han posibilitado y perpetuado relaciones de dominio y control, que vulneran en forma distinta a niñas y niños, frente a factores estructurales y coyunturales de violencia y exclusión.</w:t>
      </w:r>
      <w:r w:rsidDel="00000000" w:rsidR="00000000" w:rsidRPr="00000000">
        <w:rPr>
          <w:rtl w:val="0"/>
        </w:rPr>
      </w:r>
    </w:p>
    <w:p w:rsidR="00000000" w:rsidDel="00000000" w:rsidP="00000000" w:rsidRDefault="00000000" w:rsidRPr="00000000" w14:paraId="00000068">
      <w:pPr>
        <w:spacing w:after="0"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Inclusión: </w:t>
      </w:r>
      <w:r w:rsidDel="00000000" w:rsidR="00000000" w:rsidRPr="00000000">
        <w:rPr>
          <w:rFonts w:ascii="Arial" w:cs="Arial" w:eastAsia="Arial" w:hAnsi="Arial"/>
          <w:color w:val="000000"/>
          <w:sz w:val="24"/>
          <w:szCs w:val="24"/>
          <w:rtl w:val="0"/>
        </w:rPr>
        <w:t xml:space="preserve">es el acto de garantizar la participación de todas </w:t>
      </w:r>
      <w:r w:rsidDel="00000000" w:rsidR="00000000" w:rsidRPr="00000000">
        <w:rPr>
          <w:rFonts w:ascii="Arial" w:cs="Arial" w:eastAsia="Arial" w:hAnsi="Arial"/>
          <w:sz w:val="24"/>
          <w:szCs w:val="24"/>
          <w:rtl w:val="0"/>
        </w:rPr>
        <w:t xml:space="preserve">las personas; en cualquier ambiente. Implica buscar y ejecutar iniciativas, actitudes y políticas que permitan a los grupos convencionalmente excluidos, ser y sentirse parte del ambiente en el que estén. La inclusión fomenta una sociedad más justa, compasiva, humilde e igualitaria. </w:t>
      </w:r>
      <w:r w:rsidDel="00000000" w:rsidR="00000000" w:rsidRPr="00000000">
        <w:rPr>
          <w:rFonts w:ascii="Arial" w:cs="Arial" w:eastAsia="Arial" w:hAnsi="Arial"/>
          <w:b w:val="1"/>
          <w:sz w:val="24"/>
          <w:szCs w:val="24"/>
          <w:rtl w:val="0"/>
        </w:rPr>
        <w:t xml:space="preserve"> </w:t>
      </w:r>
    </w:p>
    <w:p w:rsidR="00000000" w:rsidDel="00000000" w:rsidP="00000000" w:rsidRDefault="00000000" w:rsidRPr="00000000" w14:paraId="00000069">
      <w:pPr>
        <w:spacing w:after="0"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Mandatos y condicionamientos sociales: </w:t>
      </w:r>
      <w:r w:rsidDel="00000000" w:rsidR="00000000" w:rsidRPr="00000000">
        <w:rPr>
          <w:rFonts w:ascii="Arial" w:cs="Arial" w:eastAsia="Arial" w:hAnsi="Arial"/>
          <w:sz w:val="24"/>
          <w:szCs w:val="24"/>
          <w:rtl w:val="0"/>
        </w:rPr>
        <w:t xml:space="preserve">se refieren a todas las ideas, conceptos e imágenes que la sociedad impone sobre las personas. En el caso específico de este aprendizaje esperado, existe la creencia de que ciertas personas o grupos de personas tienen menos capacidad para aprender matemáticas o no deben adentrarse en estos temas, lo que se ha adjudicado con especial peso a las mujeres y niñas. Por lo tanto, durante las estrategias de mediación resulta vital poner atención a estos mandatos para cuestionarlos y rechazarlos.</w:t>
      </w:r>
      <w:r w:rsidDel="00000000" w:rsidR="00000000" w:rsidRPr="00000000">
        <w:rPr>
          <w:rtl w:val="0"/>
        </w:rPr>
      </w:r>
    </w:p>
    <w:p w:rsidR="00000000" w:rsidDel="00000000" w:rsidP="00000000" w:rsidRDefault="00000000" w:rsidRPr="00000000" w14:paraId="0000006A">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Necesidades:</w:t>
      </w:r>
      <w:r w:rsidDel="00000000" w:rsidR="00000000" w:rsidRPr="00000000">
        <w:rPr>
          <w:rFonts w:ascii="Arial" w:cs="Arial" w:eastAsia="Arial" w:hAnsi="Arial"/>
          <w:sz w:val="24"/>
          <w:szCs w:val="24"/>
          <w:rtl w:val="0"/>
        </w:rPr>
        <w:t xml:space="preserve"> aspectos biológicos (ej. alimento, descanso) o afectivos (ej. afecto, escucha) que todas las personas necesitan para lograr bienestar en su vida. </w:t>
      </w:r>
    </w:p>
    <w:p w:rsidR="00000000" w:rsidDel="00000000" w:rsidP="00000000" w:rsidRDefault="00000000" w:rsidRPr="00000000" w14:paraId="0000006B">
      <w:pPr>
        <w:pBdr>
          <w:top w:space="0" w:sz="0" w:val="nil"/>
          <w:left w:space="0" w:sz="0" w:val="nil"/>
          <w:bottom w:space="0" w:sz="0" w:val="nil"/>
          <w:right w:space="0" w:sz="0" w:val="nil"/>
          <w:between w:space="0" w:sz="0" w:val="nil"/>
        </w:pBdr>
        <w:spacing w:after="0"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Negligencia:</w:t>
      </w:r>
      <w:r w:rsidDel="00000000" w:rsidR="00000000" w:rsidRPr="00000000">
        <w:rPr>
          <w:rFonts w:ascii="Arial" w:cs="Arial" w:eastAsia="Arial" w:hAnsi="Arial"/>
          <w:color w:val="000000"/>
          <w:sz w:val="24"/>
          <w:szCs w:val="24"/>
          <w:rtl w:val="0"/>
        </w:rPr>
        <w:t xml:space="preserve"> se entiende como descuido, que, aunque puede que no lleve a daño o lesión directa con intencionalidad contra las niñas, niños o personas adolescentes, les pone en una posición de riesgo. Este tipo de violencia se da cuando las personas cuidadoras, estando en posibilidad de satisfacer las necesidades básicas de las personas menores de edad a su cargo, no lo hacen. Por ejemplo, la privación de alimentos, falta de cuidados higiénicos, falta de atención médica, la vulnerabilización ante el abuso sexual, ante el abuso físico o ante lesiones producto de accidentes por falta de supervisión</w:t>
      </w:r>
      <w:r w:rsidDel="00000000" w:rsidR="00000000" w:rsidRPr="00000000">
        <w:rPr>
          <w:rFonts w:ascii="Arial" w:cs="Arial" w:eastAsia="Arial" w:hAnsi="Arial"/>
          <w:color w:val="0070c0"/>
          <w:sz w:val="24"/>
          <w:szCs w:val="24"/>
          <w:rtl w:val="0"/>
        </w:rPr>
        <w:t xml:space="preserve">.</w:t>
      </w:r>
      <w:r w:rsidDel="00000000" w:rsidR="00000000" w:rsidRPr="00000000">
        <w:rPr>
          <w:rFonts w:ascii="Arial" w:cs="Arial" w:eastAsia="Arial" w:hAnsi="Arial"/>
          <w:color w:val="000000"/>
          <w:sz w:val="24"/>
          <w:szCs w:val="24"/>
          <w:rtl w:val="0"/>
        </w:rPr>
        <w:t xml:space="preserve"> </w:t>
      </w:r>
    </w:p>
    <w:p w:rsidR="00000000" w:rsidDel="00000000" w:rsidP="00000000" w:rsidRDefault="00000000" w:rsidRPr="00000000" w14:paraId="0000006C">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Niña y niño ciudadano agente</w:t>
      </w:r>
      <w:r w:rsidDel="00000000" w:rsidR="00000000" w:rsidRPr="00000000">
        <w:rPr>
          <w:rFonts w:ascii="Arial" w:cs="Arial" w:eastAsia="Arial" w:hAnsi="Arial"/>
          <w:sz w:val="24"/>
          <w:szCs w:val="24"/>
          <w:rtl w:val="0"/>
        </w:rPr>
        <w:t xml:space="preserve">: concepto que visibiliza la capacidad de las niñas y los niños de aportar a la construcción de los diferentes espacios en los que participan, compartiendo sus conocimientos, ideas y emociones con sus pares y las personas adultas. Cuando se desecha la visión de la niñez como objeto y se reconoce su capacidad de agencia, los espacios en los que las niñas y los niños se desenvuelven pueden nutrirse de su visión, dándoles oportunidades para que demuestren su capacidad de transformar el entorno y enseñarnos nuevas formas de ser, sentir y hacer.  </w:t>
      </w:r>
    </w:p>
    <w:p w:rsidR="00000000" w:rsidDel="00000000" w:rsidP="00000000" w:rsidRDefault="00000000" w:rsidRPr="00000000" w14:paraId="0000006D">
      <w:pPr>
        <w:pBdr>
          <w:top w:space="0" w:sz="0" w:val="nil"/>
          <w:left w:space="0" w:sz="0" w:val="nil"/>
          <w:bottom w:space="0" w:sz="0" w:val="nil"/>
          <w:right w:space="0" w:sz="0" w:val="nil"/>
          <w:between w:space="0" w:sz="0" w:val="nil"/>
        </w:pBd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Pensamiento científico: </w:t>
      </w:r>
      <w:r w:rsidDel="00000000" w:rsidR="00000000" w:rsidRPr="00000000">
        <w:rPr>
          <w:rFonts w:ascii="Arial" w:cs="Arial" w:eastAsia="Arial" w:hAnsi="Arial"/>
          <w:sz w:val="24"/>
          <w:szCs w:val="24"/>
          <w:rtl w:val="0"/>
        </w:rPr>
        <w:t xml:space="preserve">es una forma de pensar y resolver problemas que implica hacer observaciones, recopilar datos, formular hipótesis, probar esas hipótesis y sacar conclusiones basadas en evidencia. Es un componente clave del método científico, que se utiliza para investigar y comprender el mundo natural. En la Primera Infancia, promover el pensamiento científico ayuda a las niñas y los niños a desarrollar habilidades de pensamiento crítico y una comprensión más profunda del mundo que les rodea. </w:t>
      </w:r>
    </w:p>
    <w:p w:rsidR="00000000" w:rsidDel="00000000" w:rsidP="00000000" w:rsidRDefault="00000000" w:rsidRPr="00000000" w14:paraId="0000006E">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Pensamiento crítico: </w:t>
      </w:r>
      <w:r w:rsidDel="00000000" w:rsidR="00000000" w:rsidRPr="00000000">
        <w:rPr>
          <w:rFonts w:ascii="Arial" w:cs="Arial" w:eastAsia="Arial" w:hAnsi="Arial"/>
          <w:sz w:val="24"/>
          <w:szCs w:val="24"/>
          <w:rtl w:val="0"/>
        </w:rPr>
        <w:t xml:space="preserve">es la habilidad para mejorar la calidad del pensamiento y apropiarse de las estructuras cognitivas aceptadas universalmente (claridad, exactitud, precisión, relevancia, profundidad, importancia). El pensamiento crítico se puede desarrollar de muchas maneras en la Primera Infancia, por ejemplo, promoviendo que las niñas y los niños hagan preguntas, observaciones y consideren múltiples perspectivas. Algunos de los beneficios de promover esta habilidad son mejorar la resolución de problemas, fortalecer la toma de decisiones, fomentar la creatividad, promover la autonomía y mejorar el rendimiento académico, entre otras. </w:t>
      </w:r>
    </w:p>
    <w:p w:rsidR="00000000" w:rsidDel="00000000" w:rsidP="00000000" w:rsidRDefault="00000000" w:rsidRPr="00000000" w14:paraId="0000006F">
      <w:pPr>
        <w:pBdr>
          <w:top w:space="0" w:sz="0" w:val="nil"/>
          <w:left w:space="0" w:sz="0" w:val="nil"/>
          <w:bottom w:space="0" w:sz="0" w:val="nil"/>
          <w:right w:space="0" w:sz="0" w:val="nil"/>
          <w:between w:space="0" w:sz="0" w:val="nil"/>
        </w:pBdr>
        <w:spacing w:after="0" w:before="240" w:line="360" w:lineRule="auto"/>
        <w:rPr>
          <w:rFonts w:ascii="Arial" w:cs="Arial" w:eastAsia="Arial" w:hAnsi="Arial"/>
          <w:sz w:val="24"/>
          <w:szCs w:val="24"/>
        </w:rPr>
      </w:pPr>
      <w:r w:rsidDel="00000000" w:rsidR="00000000" w:rsidRPr="00000000">
        <w:rPr>
          <w:rFonts w:ascii="Arial" w:cs="Arial" w:eastAsia="Arial" w:hAnsi="Arial"/>
          <w:b w:val="1"/>
          <w:color w:val="000000"/>
          <w:sz w:val="24"/>
          <w:szCs w:val="24"/>
          <w:rtl w:val="0"/>
        </w:rPr>
        <w:t xml:space="preserve">Presencia plena:</w:t>
      </w:r>
      <w:r w:rsidDel="00000000" w:rsidR="00000000" w:rsidRPr="00000000">
        <w:rPr>
          <w:rFonts w:ascii="Arial" w:cs="Arial" w:eastAsia="Arial" w:hAnsi="Arial"/>
          <w:color w:val="000000"/>
          <w:sz w:val="24"/>
          <w:szCs w:val="24"/>
          <w:rtl w:val="0"/>
        </w:rPr>
        <w:t xml:space="preserve"> práctica de focalizar intencionadamente la atención en el propio mundo interno (pensamientos, sentimientos, necesidades y sensaciones) momento a momento y sin juicios e interesarse por conectar con el mundo interno de las personas que están alrededor. La Crianza con Presencia Plena nos invita a relacionarnos con las niñas y los niños con curiosidad, apertura, aceptación, compasión y de esta manera construir vínculos seguros y empáticos. </w:t>
      </w:r>
      <w:r w:rsidDel="00000000" w:rsidR="00000000" w:rsidRPr="00000000">
        <w:rPr>
          <w:rtl w:val="0"/>
        </w:rPr>
      </w:r>
    </w:p>
    <w:p w:rsidR="00000000" w:rsidDel="00000000" w:rsidP="00000000" w:rsidRDefault="00000000" w:rsidRPr="00000000" w14:paraId="00000070">
      <w:pPr>
        <w:spacing w:after="0"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Razonamiento efectivo: </w:t>
      </w:r>
      <w:r w:rsidDel="00000000" w:rsidR="00000000" w:rsidRPr="00000000">
        <w:rPr>
          <w:rFonts w:ascii="Arial" w:cs="Arial" w:eastAsia="Arial" w:hAnsi="Arial"/>
          <w:sz w:val="24"/>
          <w:szCs w:val="24"/>
          <w:rtl w:val="0"/>
        </w:rPr>
        <w:t xml:space="preserve">es uno de los indicadores del pensamiento crítico, que permite evaluar los supuestos y los propósitos de los razonamientos que explican los problemas y preguntas vitales, es decir evaluar información, sacar conclusiones y hacer predicciones basadas en evidencia y razonamiento lógico. </w:t>
      </w:r>
      <w:r w:rsidDel="00000000" w:rsidR="00000000" w:rsidRPr="00000000">
        <w:rPr>
          <w:rFonts w:ascii="Arial" w:cs="Arial" w:eastAsia="Arial" w:hAnsi="Arial"/>
          <w:sz w:val="24"/>
          <w:szCs w:val="24"/>
          <w:highlight w:val="white"/>
          <w:rtl w:val="0"/>
        </w:rPr>
        <w:t xml:space="preserve">Para lograr esto se debe empezar por reconocer que las niñas y los niños son seres capaces</w:t>
      </w:r>
      <w:r w:rsidDel="00000000" w:rsidR="00000000" w:rsidRPr="00000000">
        <w:rPr>
          <w:rFonts w:ascii="Arial" w:cs="Arial" w:eastAsia="Arial" w:hAnsi="Arial"/>
          <w:sz w:val="24"/>
          <w:szCs w:val="24"/>
          <w:rtl w:val="0"/>
        </w:rPr>
        <w:t xml:space="preserve">. Resulta entonces importante invitarles a hacer su pensamiento visible, hacer preguntas, contrastar diferentes ideas y buscar información de diferentes fuentes.</w:t>
      </w:r>
    </w:p>
    <w:p w:rsidR="00000000" w:rsidDel="00000000" w:rsidP="00000000" w:rsidRDefault="00000000" w:rsidRPr="00000000" w14:paraId="00000071">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Sentido numérico: </w:t>
      </w:r>
      <w:r w:rsidDel="00000000" w:rsidR="00000000" w:rsidRPr="00000000">
        <w:rPr>
          <w:rFonts w:ascii="Arial" w:cs="Arial" w:eastAsia="Arial" w:hAnsi="Arial"/>
          <w:sz w:val="24"/>
          <w:szCs w:val="24"/>
          <w:rtl w:val="0"/>
        </w:rPr>
        <w:t xml:space="preserve">el sentido numérico se refiere a un grupo de habilidades matemáticas importantes. Incluye entender cantidades, comprender conceptos como mayor y menor que y distinguir la diferencia entre dos grupos con distinto número de objetos. Esta es una habilidad que heredamos producto de la historia evolutiva, es decir los seres humanos nacemos con ésta, funciona como una semilla para propiciar el desarrollo de habilidades matemáticas más avanzadas. Nacemos con un sentido numérico rudimentario, que por medio de la evolución natural del cerebro y con ayuda de estrategias de educación, se puede ir especializando. Así es necesario que el papel de la educación formal sea –no enseñar técnicas aritméticas en el vacío- sino ayudar a enlazar la mecánica de los cálculos con su significado en la vida de las niñas y los niños.</w:t>
      </w:r>
    </w:p>
    <w:p w:rsidR="00000000" w:rsidDel="00000000" w:rsidP="00000000" w:rsidRDefault="00000000" w:rsidRPr="00000000" w14:paraId="00000072">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Subitizar:</w:t>
      </w:r>
      <w:r w:rsidDel="00000000" w:rsidR="00000000" w:rsidRPr="00000000">
        <w:rPr>
          <w:rFonts w:ascii="Arial" w:cs="Arial" w:eastAsia="Arial" w:hAnsi="Arial"/>
          <w:sz w:val="24"/>
          <w:szCs w:val="24"/>
          <w:rtl w:val="0"/>
        </w:rPr>
        <w:t xml:space="preserve"> capacidad para reconocer instantáneamente (de forma súbita) el número de elementos de un conjunto sin necesidad de utilizar técnicas de conteo. Múltiples estudios han demostrado que en el primer año de vida las niñas y los niños ya tienen la capacidad de subitizar al discriminar entre dos y tres objetos.</w:t>
      </w:r>
    </w:p>
    <w:p w:rsidR="00000000" w:rsidDel="00000000" w:rsidP="00000000" w:rsidRDefault="00000000" w:rsidRPr="00000000" w14:paraId="00000073">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Toma de decisiones: </w:t>
      </w:r>
      <w:r w:rsidDel="00000000" w:rsidR="00000000" w:rsidRPr="00000000">
        <w:rPr>
          <w:rFonts w:ascii="Arial" w:cs="Arial" w:eastAsia="Arial" w:hAnsi="Arial"/>
          <w:sz w:val="24"/>
          <w:szCs w:val="24"/>
          <w:rtl w:val="0"/>
        </w:rPr>
        <w:t xml:space="preserve">es uno de los indicadores que constituyen el pensamiento crítico y se puede entender como la habilidad de</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inferir los argumentos y las ideas principales, así como los pro y contra de diversos puntos de vista, implica el elegir entre dos o más alternativas con base en la evaluación de la información disponible y la consideración de las posibles consecuencias. Es una habilidad fundamental que las niñas y los niños deben desarrollar desde una edad temprana, ya que promueve su autonomía y agencia ciudadana. </w:t>
      </w:r>
    </w:p>
    <w:p w:rsidR="00000000" w:rsidDel="00000000" w:rsidP="00000000" w:rsidRDefault="00000000" w:rsidRPr="00000000" w14:paraId="00000074">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Trato humillante:</w:t>
      </w:r>
      <w:r w:rsidDel="00000000" w:rsidR="00000000" w:rsidRPr="00000000">
        <w:rPr>
          <w:rFonts w:ascii="Arial" w:cs="Arial" w:eastAsia="Arial" w:hAnsi="Arial"/>
          <w:sz w:val="24"/>
          <w:szCs w:val="24"/>
          <w:rtl w:val="0"/>
        </w:rPr>
        <w:t xml:space="preserve"> es un tipo de violencia que se caracteriza por el uso de ofensas, degradaciones, humillaciones, comparaciones u otro tipo de violencia emocional ejercida por una persona adulta, que utiliza su posición de poder sobre una niña, niño o persona adolescente, bloqueando su dignidad, sentimiento de valía o autorespeto.</w:t>
      </w:r>
    </w:p>
    <w:p w:rsidR="00000000" w:rsidDel="00000000" w:rsidP="00000000" w:rsidRDefault="00000000" w:rsidRPr="00000000" w14:paraId="00000075">
      <w:pPr>
        <w:spacing w:after="0" w:before="240" w:line="360" w:lineRule="auto"/>
        <w:rPr>
          <w:rFonts w:ascii="Arial" w:cs="Arial" w:eastAsia="Arial" w:hAnsi="Arial"/>
          <w:sz w:val="24"/>
          <w:szCs w:val="24"/>
          <w:highlight w:val="white"/>
        </w:rPr>
      </w:pPr>
      <w:r w:rsidDel="00000000" w:rsidR="00000000" w:rsidRPr="00000000">
        <w:rPr>
          <w:rFonts w:ascii="Arial" w:cs="Arial" w:eastAsia="Arial" w:hAnsi="Arial"/>
          <w:b w:val="1"/>
          <w:sz w:val="24"/>
          <w:szCs w:val="24"/>
          <w:rtl w:val="0"/>
        </w:rPr>
        <w:t xml:space="preserve">Valores cooperativos: </w:t>
      </w:r>
      <w:r w:rsidDel="00000000" w:rsidR="00000000" w:rsidRPr="00000000">
        <w:rPr>
          <w:rFonts w:ascii="Arial" w:cs="Arial" w:eastAsia="Arial" w:hAnsi="Arial"/>
          <w:sz w:val="24"/>
          <w:szCs w:val="24"/>
          <w:rtl w:val="0"/>
        </w:rPr>
        <w:t xml:space="preserve">aquellos </w:t>
      </w:r>
      <w:r w:rsidDel="00000000" w:rsidR="00000000" w:rsidRPr="00000000">
        <w:rPr>
          <w:rFonts w:ascii="Arial" w:cs="Arial" w:eastAsia="Arial" w:hAnsi="Arial"/>
          <w:sz w:val="24"/>
          <w:szCs w:val="24"/>
          <w:highlight w:val="white"/>
          <w:rtl w:val="0"/>
        </w:rPr>
        <w:t xml:space="preserve">valores que promueven la satisfacción de las necesidades de todas las personas. Los ejemplos de valores cooperativos incluyen la confianza mutua, la responsabilidad compartida, la empatía, la compasión, la toma de decisiones inclusiva, entre otros. Al fomentar estos valores, las personas docentes pueden crear ambientes para estar, ser y hacer. Así mismo, su práctica les permite a las niñas y los niños desarrollar habilidades prosociales, construir vínculos afectivos y aprender a trabajar en grupos de manera efectiva y compasiva. </w:t>
      </w:r>
    </w:p>
    <w:p w:rsidR="00000000" w:rsidDel="00000000" w:rsidP="00000000" w:rsidRDefault="00000000" w:rsidRPr="00000000" w14:paraId="00000076">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Vínculo afectivo seguro:</w:t>
      </w:r>
      <w:r w:rsidDel="00000000" w:rsidR="00000000" w:rsidRPr="00000000">
        <w:rPr>
          <w:rFonts w:ascii="Arial" w:cs="Arial" w:eastAsia="Arial" w:hAnsi="Arial"/>
          <w:sz w:val="24"/>
          <w:szCs w:val="24"/>
          <w:rtl w:val="0"/>
        </w:rPr>
        <w:t xml:space="preserve"> el vínculo afectivo es la relación que se construye entre la niña o el niño y las figuras cuidadoras. Para construir un vínculo afectivo seguro es necesario que las personas adultas estén atentas a las necesidades biológicas y afectivas de las niñas y los niños, lo que les da un sentido de protección y confianza, que a la vez les permite explorar el mundo y afianzar su autonomía. Es así que, el vínculo afectivo seguro es la base del desarrollo de las niñas y los niños.</w:t>
      </w:r>
    </w:p>
    <w:p w:rsidR="00000000" w:rsidDel="00000000" w:rsidP="00000000" w:rsidRDefault="00000000" w:rsidRPr="00000000" w14:paraId="00000077">
      <w:pPr>
        <w:spacing w:after="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Visualización:</w:t>
      </w:r>
      <w:r w:rsidDel="00000000" w:rsidR="00000000" w:rsidRPr="00000000">
        <w:rPr>
          <w:rFonts w:ascii="Arial" w:cs="Arial" w:eastAsia="Arial" w:hAnsi="Arial"/>
          <w:sz w:val="24"/>
          <w:szCs w:val="24"/>
          <w:rtl w:val="0"/>
        </w:rPr>
        <w:t xml:space="preserve"> capacidad de visualizar mentalmente cantidades, estrategias y procedimientos. Es muy importante promover esta capacidad al acompañar a las niñas y los niños en edad preescolar a aprender matemáticas. Durante la Primera Infancia el ejercicio de contar no es muy eficiente para las niñas y los niños, pues se vuelve un proceso más memorístico, ya que todavía no tienen algunos conceptos para entenderlo (ej. valor posicional de los dígitos). Sin embargo, desde estas edades las niñas y los niños sí pueden subitizar o reconocer cantidades que están agrupadas, debido al sentido numérico con el que los seres humanos nacemos. Entonces cuando se utilizan recursos para ayudar a las niñas y los niños a fortalecer su capacidad de visualizar (ej. tarjetas con cantidades agrupadas en 5 o 10, un ábaco que cumpla este mismo principio), se aprovechan los conocimientos que ya tienen, para que aprendan modelos mentales de aritmética.</w:t>
      </w:r>
    </w:p>
    <w:p w:rsidR="00000000" w:rsidDel="00000000" w:rsidP="00000000" w:rsidRDefault="00000000" w:rsidRPr="00000000" w14:paraId="00000078">
      <w:pPr>
        <w:spacing w:after="0" w:before="240" w:line="36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9">
      <w:pPr>
        <w:pStyle w:val="Heading2"/>
        <w:spacing w:after="40" w:before="240" w:line="360" w:lineRule="auto"/>
        <w:rPr>
          <w:rFonts w:ascii="Arial" w:cs="Arial" w:eastAsia="Arial" w:hAnsi="Arial"/>
          <w:b w:val="1"/>
          <w:color w:val="000000"/>
          <w:sz w:val="28"/>
          <w:szCs w:val="28"/>
        </w:rPr>
      </w:pPr>
      <w:bookmarkStart w:colFirst="0" w:colLast="0" w:name="_heading=h.3j2qqm3" w:id="5"/>
      <w:bookmarkEnd w:id="5"/>
      <w:r w:rsidDel="00000000" w:rsidR="00000000" w:rsidRPr="00000000">
        <w:rPr>
          <w:rFonts w:ascii="Arial" w:cs="Arial" w:eastAsia="Arial" w:hAnsi="Arial"/>
          <w:b w:val="1"/>
          <w:color w:val="000000"/>
          <w:sz w:val="28"/>
          <w:szCs w:val="28"/>
          <w:rtl w:val="0"/>
        </w:rPr>
        <w:t xml:space="preserve">Sección IV. Recursos de apoyo digitales </w:t>
      </w:r>
    </w:p>
    <w:p w:rsidR="00000000" w:rsidDel="00000000" w:rsidP="00000000" w:rsidRDefault="00000000" w:rsidRPr="00000000" w14:paraId="0000007A">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la tabla que se presenta a continuación encontrará enlaces web a recursos digitales que pueden ser útiles al poner en práctica estrategias de mediación para este aprendizaje esperado. Algunos de estos recursos están ligados a estrategias de mediación específicas y son ideales para compartir con las niñas y los niños. Otros le guiarán a material complementario para su crecimiento profesional o para distribuir a las familias y que de esta manera todas las personas alrededor de las niñas y los niños puedan contribuir con su desarrollo. </w:t>
      </w:r>
    </w:p>
    <w:p w:rsidR="00000000" w:rsidDel="00000000" w:rsidP="00000000" w:rsidRDefault="00000000" w:rsidRPr="00000000" w14:paraId="0000007B">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Tome en cuenta que estos recursos son sugerencias, en todos los casos es necesario que la persona docente o persona adulta cuidadora los revise y tenga listos antes de mediar con las niñas y los niños. </w:t>
      </w:r>
    </w:p>
    <w:p w:rsidR="00000000" w:rsidDel="00000000" w:rsidP="00000000" w:rsidRDefault="00000000" w:rsidRPr="00000000" w14:paraId="0000007C">
      <w:pPr>
        <w:keepNext w:val="1"/>
        <w:pBdr>
          <w:top w:space="0" w:sz="0" w:val="nil"/>
          <w:left w:space="0" w:sz="0" w:val="nil"/>
          <w:bottom w:space="0" w:sz="0" w:val="nil"/>
          <w:right w:space="0" w:sz="0" w:val="nil"/>
          <w:between w:space="0" w:sz="0" w:val="nil"/>
        </w:pBdr>
        <w:spacing w:after="240" w:line="360" w:lineRule="auto"/>
        <w:rPr>
          <w:rFonts w:ascii="Arial" w:cs="Arial" w:eastAsia="Arial" w:hAnsi="Arial"/>
          <w:color w:val="44546a"/>
          <w:sz w:val="18"/>
          <w:szCs w:val="18"/>
        </w:rPr>
      </w:pPr>
      <w:r w:rsidDel="00000000" w:rsidR="00000000" w:rsidRPr="00000000">
        <w:rPr>
          <w:rFonts w:ascii="Arial" w:cs="Arial" w:eastAsia="Arial" w:hAnsi="Arial"/>
          <w:color w:val="44546a"/>
          <w:sz w:val="18"/>
          <w:szCs w:val="18"/>
          <w:rtl w:val="0"/>
        </w:rPr>
        <w:t xml:space="preserve">Tabla 3/ Enlace web a recursos de apoyo digitales</w:t>
      </w:r>
    </w:p>
    <w:tbl>
      <w:tblPr>
        <w:tblStyle w:val="Table3"/>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rHeight w:val="440" w:hRule="atLeast"/>
          <w:tblHeader w:val="1"/>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7D">
            <w:pPr>
              <w:pBdr>
                <w:top w:space="0" w:sz="0" w:val="nil"/>
                <w:left w:space="0" w:sz="0" w:val="nil"/>
                <w:bottom w:space="0" w:sz="0" w:val="nil"/>
                <w:right w:space="0" w:sz="0" w:val="nil"/>
                <w:between w:space="0" w:sz="0" w:val="nil"/>
              </w:pBdr>
              <w:spacing w:after="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Enlace web a recursos de apoyo digitales</w:t>
            </w:r>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7E">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Enlace a infografía “Ambientes para hacer”** </w:t>
            </w:r>
          </w:p>
          <w:p w:rsidR="00000000" w:rsidDel="00000000" w:rsidP="00000000" w:rsidRDefault="00000000" w:rsidRPr="00000000" w14:paraId="0000007F">
            <w:pPr>
              <w:spacing w:line="360" w:lineRule="auto"/>
              <w:rPr>
                <w:rFonts w:ascii="Arial" w:cs="Arial" w:eastAsia="Arial" w:hAnsi="Arial"/>
                <w:sz w:val="24"/>
                <w:szCs w:val="24"/>
              </w:rPr>
            </w:pPr>
            <w:hyperlink r:id="rId9">
              <w:r w:rsidDel="00000000" w:rsidR="00000000" w:rsidRPr="00000000">
                <w:rPr>
                  <w:rFonts w:ascii="Arial" w:cs="Arial" w:eastAsia="Arial" w:hAnsi="Arial"/>
                  <w:color w:val="1155cc"/>
                  <w:sz w:val="24"/>
                  <w:szCs w:val="24"/>
                  <w:u w:val="single"/>
                  <w:rtl w:val="0"/>
                </w:rPr>
                <w:t xml:space="preserve">https://drive.google.com/file/d/1Lez-gl3kKA5sG19mlo9V4caOru0o6X8w/view?usp=sharing</w:t>
              </w:r>
            </w:hyperlink>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80">
            <w:pPr>
              <w:spacing w:line="360" w:lineRule="auto"/>
              <w:rPr>
                <w:rFonts w:ascii="Arial" w:cs="Arial" w:eastAsia="Arial" w:hAnsi="Arial"/>
                <w:color w:val="1155cc"/>
                <w:sz w:val="24"/>
                <w:szCs w:val="24"/>
                <w:u w:val="single"/>
              </w:rPr>
            </w:pPr>
            <w:r w:rsidDel="00000000" w:rsidR="00000000" w:rsidRPr="00000000">
              <w:rPr>
                <w:rFonts w:ascii="Arial" w:cs="Arial" w:eastAsia="Arial" w:hAnsi="Arial"/>
                <w:sz w:val="24"/>
                <w:szCs w:val="24"/>
                <w:rtl w:val="0"/>
              </w:rPr>
              <w:t xml:space="preserve">(tomar en cuenta que estos niveles son acumulativos)</w:t>
            </w:r>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1">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Enlace a infografía “Ambientes para ser”**</w:t>
            </w:r>
          </w:p>
          <w:p w:rsidR="00000000" w:rsidDel="00000000" w:rsidP="00000000" w:rsidRDefault="00000000" w:rsidRPr="00000000" w14:paraId="00000082">
            <w:pPr>
              <w:spacing w:line="360" w:lineRule="auto"/>
              <w:rPr>
                <w:rFonts w:ascii="Arial" w:cs="Arial" w:eastAsia="Arial" w:hAnsi="Arial"/>
                <w:sz w:val="24"/>
                <w:szCs w:val="24"/>
              </w:rPr>
            </w:pPr>
            <w:hyperlink r:id="rId10">
              <w:r w:rsidDel="00000000" w:rsidR="00000000" w:rsidRPr="00000000">
                <w:rPr>
                  <w:rFonts w:ascii="Arial" w:cs="Arial" w:eastAsia="Arial" w:hAnsi="Arial"/>
                  <w:color w:val="1155cc"/>
                  <w:sz w:val="24"/>
                  <w:szCs w:val="24"/>
                  <w:u w:val="single"/>
                  <w:rtl w:val="0"/>
                </w:rPr>
                <w:t xml:space="preserve">https://drive.google.com/file/d/19yDQ_4sHN8nDDuJ1hYt__Iv8KMLpEdVl/view?usp=sharing</w:t>
              </w:r>
            </w:hyperlink>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83">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(tomar en cuenta que estos niveles son acumulativos)</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4">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Enlace a infografía “Ambientes para estar**</w:t>
            </w:r>
          </w:p>
          <w:p w:rsidR="00000000" w:rsidDel="00000000" w:rsidP="00000000" w:rsidRDefault="00000000" w:rsidRPr="00000000" w14:paraId="00000085">
            <w:pPr>
              <w:spacing w:line="360" w:lineRule="auto"/>
              <w:rPr>
                <w:rFonts w:ascii="Arial" w:cs="Arial" w:eastAsia="Arial" w:hAnsi="Arial"/>
                <w:sz w:val="24"/>
                <w:szCs w:val="24"/>
              </w:rPr>
            </w:pPr>
            <w:hyperlink r:id="rId11">
              <w:r w:rsidDel="00000000" w:rsidR="00000000" w:rsidRPr="00000000">
                <w:rPr>
                  <w:rFonts w:ascii="Arial" w:cs="Arial" w:eastAsia="Arial" w:hAnsi="Arial"/>
                  <w:color w:val="1155cc"/>
                  <w:sz w:val="24"/>
                  <w:szCs w:val="24"/>
                  <w:u w:val="single"/>
                  <w:rtl w:val="0"/>
                </w:rPr>
                <w:t xml:space="preserve">https://drive.google.com/file/d/1RGhQbohzyivbIoF91C68hjq8Yumv16-p/view?usp=sharing</w:t>
              </w:r>
            </w:hyperlink>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86">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(tomar en cuenta que estos niveles son acumulativos)</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7">
            <w:pPr>
              <w:pBdr>
                <w:top w:space="0" w:sz="0" w:val="nil"/>
                <w:left w:space="0" w:sz="0" w:val="nil"/>
                <w:bottom w:space="0" w:sz="0" w:val="nil"/>
                <w:right w:space="0" w:sz="0" w:val="nil"/>
                <w:between w:space="0" w:sz="0" w:val="nil"/>
              </w:pBdr>
              <w:spacing w:after="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Enlace a ejemplo de tarjetas con representaciones numéricas (Rightstart Mathematics)</w:t>
            </w:r>
          </w:p>
          <w:p w:rsidR="00000000" w:rsidDel="00000000" w:rsidP="00000000" w:rsidRDefault="00000000" w:rsidRPr="00000000" w14:paraId="00000088">
            <w:pPr>
              <w:spacing w:line="360" w:lineRule="auto"/>
              <w:rPr>
                <w:rFonts w:ascii="Arial" w:cs="Arial" w:eastAsia="Arial" w:hAnsi="Arial"/>
                <w:sz w:val="24"/>
                <w:szCs w:val="24"/>
              </w:rPr>
            </w:pPr>
            <w:hyperlink r:id="rId12">
              <w:r w:rsidDel="00000000" w:rsidR="00000000" w:rsidRPr="00000000">
                <w:rPr>
                  <w:rFonts w:ascii="Arial" w:cs="Arial" w:eastAsia="Arial" w:hAnsi="Arial"/>
                  <w:color w:val="0000ff"/>
                  <w:sz w:val="24"/>
                  <w:szCs w:val="24"/>
                  <w:u w:val="single"/>
                  <w:rtl w:val="0"/>
                </w:rPr>
                <w:t xml:space="preserve">https://rightstartmath.com/wp-content/uploads/2021/01/Finger-Cards.pdf</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9">
            <w:pPr>
              <w:spacing w:after="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Rutinas de pensamiento</w:t>
            </w:r>
          </w:p>
          <w:p w:rsidR="00000000" w:rsidDel="00000000" w:rsidP="00000000" w:rsidRDefault="00000000" w:rsidRPr="00000000" w14:paraId="0000008A">
            <w:pPr>
              <w:spacing w:after="0" w:line="360" w:lineRule="auto"/>
              <w:jc w:val="both"/>
              <w:rPr>
                <w:rFonts w:ascii="Arial" w:cs="Arial" w:eastAsia="Arial" w:hAnsi="Arial"/>
                <w:sz w:val="24"/>
                <w:szCs w:val="24"/>
              </w:rPr>
            </w:pPr>
            <w:hyperlink r:id="rId13">
              <w:r w:rsidDel="00000000" w:rsidR="00000000" w:rsidRPr="00000000">
                <w:rPr>
                  <w:rFonts w:ascii="Arial" w:cs="Arial" w:eastAsia="Arial" w:hAnsi="Arial"/>
                  <w:color w:val="0000ff"/>
                  <w:sz w:val="24"/>
                  <w:szCs w:val="24"/>
                  <w:u w:val="single"/>
                  <w:rtl w:val="0"/>
                </w:rPr>
                <w:t xml:space="preserve">https://pz.harvard.edu/thinking-routines</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B">
            <w:pPr>
              <w:spacing w:after="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Rutina de pensamiento “¿Qué le hace decir eso?”</w:t>
            </w:r>
          </w:p>
          <w:p w:rsidR="00000000" w:rsidDel="00000000" w:rsidP="00000000" w:rsidRDefault="00000000" w:rsidRPr="00000000" w14:paraId="0000008C">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Enlace:</w:t>
            </w:r>
            <w:r w:rsidDel="00000000" w:rsidR="00000000" w:rsidRPr="00000000">
              <w:rPr>
                <w:rFonts w:ascii="Arial" w:cs="Arial" w:eastAsia="Arial" w:hAnsi="Arial"/>
                <w:color w:val="0000ff"/>
                <w:sz w:val="24"/>
                <w:szCs w:val="24"/>
                <w:u w:val="single"/>
                <w:rtl w:val="0"/>
              </w:rPr>
              <w:t xml:space="preserve"> </w:t>
            </w:r>
            <w:hyperlink r:id="rId14">
              <w:r w:rsidDel="00000000" w:rsidR="00000000" w:rsidRPr="00000000">
                <w:rPr>
                  <w:rFonts w:ascii="Arial" w:cs="Arial" w:eastAsia="Arial" w:hAnsi="Arial"/>
                  <w:color w:val="0000ff"/>
                  <w:sz w:val="24"/>
                  <w:szCs w:val="24"/>
                  <w:u w:val="single"/>
                  <w:rtl w:val="0"/>
                </w:rPr>
                <w:t xml:space="preserve">https://pz.harvard.edu/sites/default/files/Qu%C3%A9%20te%20hace%20decir%20eso%20-%20What%20Makes%20You%20Say%20That.pdf</w:t>
              </w:r>
            </w:hyperlink>
            <w:r w:rsidDel="00000000" w:rsidR="00000000" w:rsidRPr="00000000">
              <w:rPr>
                <w:rtl w:val="0"/>
              </w:rPr>
            </w:r>
          </w:p>
          <w:p w:rsidR="00000000" w:rsidDel="00000000" w:rsidP="00000000" w:rsidRDefault="00000000" w:rsidRPr="00000000" w14:paraId="0000008D">
            <w:pPr>
              <w:spacing w:after="0" w:line="240" w:lineRule="auto"/>
              <w:rPr>
                <w:rFonts w:ascii="Arial" w:cs="Arial" w:eastAsia="Arial" w:hAnsi="Arial"/>
                <w:sz w:val="24"/>
                <w:szCs w:val="24"/>
                <w:highlight w:val="yellow"/>
              </w:rPr>
            </w:pPr>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E">
            <w:pPr>
              <w:spacing w:after="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Videos de la serie “¡Hola, soy Pluc!” </w:t>
            </w:r>
          </w:p>
          <w:p w:rsidR="00000000" w:rsidDel="00000000" w:rsidP="00000000" w:rsidRDefault="00000000" w:rsidRPr="00000000" w14:paraId="0000008F">
            <w:pPr>
              <w:spacing w:after="240" w:line="360" w:lineRule="auto"/>
              <w:rPr>
                <w:rFonts w:ascii="Arial" w:cs="Arial" w:eastAsia="Arial" w:hAnsi="Arial"/>
                <w:sz w:val="24"/>
                <w:szCs w:val="24"/>
              </w:rPr>
            </w:pPr>
            <w:hyperlink r:id="rId15">
              <w:r w:rsidDel="00000000" w:rsidR="00000000" w:rsidRPr="00000000">
                <w:rPr>
                  <w:rFonts w:ascii="Arial" w:cs="Arial" w:eastAsia="Arial" w:hAnsi="Arial"/>
                  <w:color w:val="0000ff"/>
                  <w:sz w:val="24"/>
                  <w:szCs w:val="24"/>
                  <w:u w:val="single"/>
                  <w:rtl w:val="0"/>
                </w:rPr>
                <w:t xml:space="preserve">https://paniamor.org/Project/detail/31/hola-soy-pluc</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0">
            <w:pPr>
              <w:pBdr>
                <w:top w:space="0" w:sz="0" w:val="nil"/>
                <w:left w:space="0" w:sz="0" w:val="nil"/>
                <w:bottom w:space="0" w:sz="0" w:val="nil"/>
                <w:right w:space="0" w:sz="0" w:val="nil"/>
                <w:between w:space="0" w:sz="0" w:val="nil"/>
              </w:pBdr>
              <w:spacing w:after="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Cuentos de la serie “Pluc te cuenta un cuento”</w:t>
            </w:r>
          </w:p>
          <w:p w:rsidR="00000000" w:rsidDel="00000000" w:rsidP="00000000" w:rsidRDefault="00000000" w:rsidRPr="00000000" w14:paraId="00000091">
            <w:pPr>
              <w:pBdr>
                <w:top w:space="0" w:sz="0" w:val="nil"/>
                <w:left w:space="0" w:sz="0" w:val="nil"/>
                <w:bottom w:space="0" w:sz="0" w:val="nil"/>
                <w:right w:space="0" w:sz="0" w:val="nil"/>
                <w:between w:space="0" w:sz="0" w:val="nil"/>
              </w:pBdr>
              <w:spacing w:after="240" w:line="360" w:lineRule="auto"/>
              <w:rPr>
                <w:rFonts w:ascii="Arial" w:cs="Arial" w:eastAsia="Arial" w:hAnsi="Arial"/>
                <w:sz w:val="24"/>
                <w:szCs w:val="24"/>
              </w:rPr>
            </w:pPr>
            <w:hyperlink r:id="rId16">
              <w:r w:rsidDel="00000000" w:rsidR="00000000" w:rsidRPr="00000000">
                <w:rPr>
                  <w:rFonts w:ascii="Arial" w:cs="Arial" w:eastAsia="Arial" w:hAnsi="Arial"/>
                  <w:color w:val="0000ff"/>
                  <w:sz w:val="24"/>
                  <w:szCs w:val="24"/>
                  <w:u w:val="single"/>
                  <w:rtl w:val="0"/>
                </w:rPr>
                <w:t xml:space="preserve">https://paniamor.org/Resource/index/6/pluc-te-cuenta-un-cuento--</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2">
            <w:pPr>
              <w:pBdr>
                <w:top w:space="0" w:sz="0" w:val="nil"/>
                <w:left w:space="0" w:sz="0" w:val="nil"/>
                <w:bottom w:space="0" w:sz="0" w:val="nil"/>
                <w:right w:space="0" w:sz="0" w:val="nil"/>
                <w:between w:space="0" w:sz="0" w:val="nil"/>
              </w:pBdr>
              <w:spacing w:after="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Cuentos de la serie “Corina: Niñas en Acción”</w:t>
            </w:r>
          </w:p>
          <w:p w:rsidR="00000000" w:rsidDel="00000000" w:rsidP="00000000" w:rsidRDefault="00000000" w:rsidRPr="00000000" w14:paraId="00000093">
            <w:pPr>
              <w:pBdr>
                <w:top w:space="0" w:sz="0" w:val="nil"/>
                <w:left w:space="0" w:sz="0" w:val="nil"/>
                <w:bottom w:space="0" w:sz="0" w:val="nil"/>
                <w:right w:space="0" w:sz="0" w:val="nil"/>
                <w:between w:space="0" w:sz="0" w:val="nil"/>
              </w:pBdr>
              <w:spacing w:after="240" w:line="360" w:lineRule="auto"/>
              <w:rPr>
                <w:rFonts w:ascii="Arial" w:cs="Arial" w:eastAsia="Arial" w:hAnsi="Arial"/>
                <w:sz w:val="24"/>
                <w:szCs w:val="24"/>
              </w:rPr>
            </w:pPr>
            <w:hyperlink r:id="rId17">
              <w:r w:rsidDel="00000000" w:rsidR="00000000" w:rsidRPr="00000000">
                <w:rPr>
                  <w:rFonts w:ascii="Arial" w:cs="Arial" w:eastAsia="Arial" w:hAnsi="Arial"/>
                  <w:color w:val="0000ff"/>
                  <w:sz w:val="24"/>
                  <w:szCs w:val="24"/>
                  <w:u w:val="single"/>
                  <w:rtl w:val="0"/>
                </w:rPr>
                <w:t xml:space="preserve">www.paniamor.org</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4">
            <w:pPr>
              <w:pBdr>
                <w:top w:space="0" w:sz="0" w:val="nil"/>
                <w:left w:space="0" w:sz="0" w:val="nil"/>
                <w:bottom w:space="0" w:sz="0" w:val="nil"/>
                <w:right w:space="0" w:sz="0" w:val="nil"/>
                <w:between w:space="0" w:sz="0" w:val="nil"/>
              </w:pBdr>
              <w:spacing w:after="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Libros y artículos sobre el sentido numérico **</w:t>
            </w:r>
          </w:p>
          <w:p w:rsidR="00000000" w:rsidDel="00000000" w:rsidP="00000000" w:rsidRDefault="00000000" w:rsidRPr="00000000" w14:paraId="00000095">
            <w:pPr>
              <w:pBdr>
                <w:top w:space="0" w:sz="0" w:val="nil"/>
                <w:left w:space="0" w:sz="0" w:val="nil"/>
                <w:bottom w:space="0" w:sz="0" w:val="nil"/>
                <w:right w:space="0" w:sz="0" w:val="nil"/>
                <w:between w:space="0" w:sz="0" w:val="nil"/>
              </w:pBdr>
              <w:spacing w:after="240" w:line="360" w:lineRule="auto"/>
              <w:rPr>
                <w:rFonts w:ascii="Arial" w:cs="Arial" w:eastAsia="Arial" w:hAnsi="Arial"/>
                <w:sz w:val="24"/>
                <w:szCs w:val="24"/>
                <w:highlight w:val="yellow"/>
              </w:rPr>
            </w:pPr>
            <w:hyperlink r:id="rId18">
              <w:r w:rsidDel="00000000" w:rsidR="00000000" w:rsidRPr="00000000">
                <w:rPr>
                  <w:rFonts w:ascii="Arial" w:cs="Arial" w:eastAsia="Arial" w:hAnsi="Arial"/>
                  <w:color w:val="0000ff"/>
                  <w:sz w:val="24"/>
                  <w:szCs w:val="24"/>
                  <w:u w:val="single"/>
                  <w:rtl w:val="0"/>
                </w:rPr>
                <w:t xml:space="preserve">https://drive.google.com/file/d/11i2zdmpWZ7VmWTVg9ITgmblf7pfkUU0s/view?usp=sharing</w:t>
              </w:r>
            </w:hyperlink>
            <w:r w:rsidDel="00000000" w:rsidR="00000000" w:rsidRPr="00000000">
              <w:rPr>
                <w:rtl w:val="0"/>
              </w:rPr>
            </w:r>
          </w:p>
        </w:tc>
      </w:tr>
    </w:tbl>
    <w:p w:rsidR="00000000" w:rsidDel="00000000" w:rsidP="00000000" w:rsidRDefault="00000000" w:rsidRPr="00000000" w14:paraId="00000096">
      <w:pPr>
        <w:spacing w:after="240" w:line="360" w:lineRule="auto"/>
        <w:rPr>
          <w:rFonts w:ascii="Arial" w:cs="Arial" w:eastAsia="Arial" w:hAnsi="Arial"/>
          <w:sz w:val="24"/>
          <w:szCs w:val="24"/>
        </w:rPr>
      </w:pPr>
      <w:bookmarkStart w:colFirst="0" w:colLast="0" w:name="_heading=h.1t3h5sf" w:id="6"/>
      <w:bookmarkEnd w:id="6"/>
      <w:r w:rsidDel="00000000" w:rsidR="00000000" w:rsidRPr="00000000">
        <w:rPr>
          <w:rFonts w:ascii="Arial" w:cs="Arial" w:eastAsia="Arial" w:hAnsi="Arial"/>
          <w:sz w:val="24"/>
          <w:szCs w:val="24"/>
          <w:rtl w:val="0"/>
        </w:rPr>
        <w:t xml:space="preserve">** recursos para docentes y familias</w:t>
      </w:r>
      <w:r w:rsidDel="00000000" w:rsidR="00000000" w:rsidRPr="00000000">
        <w:br w:type="page"/>
      </w:r>
      <w:r w:rsidDel="00000000" w:rsidR="00000000" w:rsidRPr="00000000">
        <w:rPr>
          <w:rtl w:val="0"/>
        </w:rPr>
      </w:r>
    </w:p>
    <w:p w:rsidR="00000000" w:rsidDel="00000000" w:rsidP="00000000" w:rsidRDefault="00000000" w:rsidRPr="00000000" w14:paraId="00000097">
      <w:pPr>
        <w:pStyle w:val="Heading1"/>
        <w:spacing w:after="40" w:before="40" w:lineRule="auto"/>
        <w:ind w:left="0"/>
        <w:jc w:val="center"/>
        <w:rPr/>
      </w:pPr>
      <w:r w:rsidDel="00000000" w:rsidR="00000000" w:rsidRPr="00000000">
        <w:rPr>
          <w:rtl w:val="0"/>
        </w:rPr>
        <w:t xml:space="preserve">Planeamiento didáctico 2024</w:t>
      </w:r>
    </w:p>
    <w:p w:rsidR="00000000" w:rsidDel="00000000" w:rsidP="00000000" w:rsidRDefault="00000000" w:rsidRPr="00000000" w14:paraId="00000098">
      <w:pPr>
        <w:pStyle w:val="Heading1"/>
        <w:spacing w:after="40" w:before="40" w:lineRule="auto"/>
        <w:ind w:left="0"/>
        <w:jc w:val="center"/>
        <w:rPr/>
      </w:pPr>
      <w:bookmarkStart w:colFirst="0" w:colLast="0" w:name="_heading=h.9xyfeubxnliz" w:id="7"/>
      <w:bookmarkEnd w:id="7"/>
      <w:r w:rsidDel="00000000" w:rsidR="00000000" w:rsidRPr="00000000">
        <w:rPr>
          <w:rtl w:val="0"/>
        </w:rPr>
        <w:t xml:space="preserve">Nivel de Educación Preescolar</w:t>
      </w:r>
    </w:p>
    <w:p w:rsidR="00000000" w:rsidDel="00000000" w:rsidP="00000000" w:rsidRDefault="00000000" w:rsidRPr="00000000" w14:paraId="00000099">
      <w:pPr>
        <w:pStyle w:val="Heading2"/>
        <w:spacing w:after="40" w:line="360" w:lineRule="auto"/>
        <w:rPr>
          <w:rFonts w:ascii="Arial" w:cs="Arial" w:eastAsia="Arial" w:hAnsi="Arial"/>
          <w:b w:val="1"/>
          <w:color w:val="000000"/>
          <w:sz w:val="28"/>
          <w:szCs w:val="28"/>
        </w:rPr>
      </w:pPr>
      <w:bookmarkStart w:colFirst="0" w:colLast="0" w:name="_heading=h.4fcm2ytn3gkm" w:id="8"/>
      <w:bookmarkEnd w:id="8"/>
      <w:r w:rsidDel="00000000" w:rsidR="00000000" w:rsidRPr="00000000">
        <w:rPr>
          <w:rFonts w:ascii="Arial" w:cs="Arial" w:eastAsia="Arial" w:hAnsi="Arial"/>
          <w:b w:val="1"/>
          <w:color w:val="000000"/>
          <w:sz w:val="28"/>
          <w:szCs w:val="28"/>
          <w:rtl w:val="0"/>
        </w:rPr>
        <w:t xml:space="preserve">Aspectos administrativos</w:t>
      </w:r>
    </w:p>
    <w:p w:rsidR="00000000" w:rsidDel="00000000" w:rsidP="00000000" w:rsidRDefault="00000000" w:rsidRPr="00000000" w14:paraId="0000009A">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Dirección Regional de Educación:</w:t>
      </w:r>
    </w:p>
    <w:p w:rsidR="00000000" w:rsidDel="00000000" w:rsidP="00000000" w:rsidRDefault="00000000" w:rsidRPr="00000000" w14:paraId="0000009B">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Nombre y apellidos del o la docente:</w:t>
      </w:r>
    </w:p>
    <w:p w:rsidR="00000000" w:rsidDel="00000000" w:rsidP="00000000" w:rsidRDefault="00000000" w:rsidRPr="00000000" w14:paraId="0000009C">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Centro educativo:</w:t>
      </w:r>
    </w:p>
    <w:p w:rsidR="00000000" w:rsidDel="00000000" w:rsidP="00000000" w:rsidRDefault="00000000" w:rsidRPr="00000000" w14:paraId="0000009D">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Curso lectivo: indique solo el año.</w:t>
      </w:r>
    </w:p>
    <w:p w:rsidR="00000000" w:rsidDel="00000000" w:rsidP="00000000" w:rsidRDefault="00000000" w:rsidRPr="00000000" w14:paraId="0000009E">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Ciclo: indique solo el ciclo que le corresponde (Materno Infantil-Grupo Interactivo II o Ciclo de Transición).</w:t>
      </w:r>
    </w:p>
    <w:p w:rsidR="00000000" w:rsidDel="00000000" w:rsidP="00000000" w:rsidRDefault="00000000" w:rsidRPr="00000000" w14:paraId="0000009F">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Periodicidad: (indique solo el trimestre que corresponde: Diagnóstico, I Trimestre, II Trimestre, III Trimestre).</w:t>
      </w:r>
    </w:p>
    <w:p w:rsidR="00000000" w:rsidDel="00000000" w:rsidP="00000000" w:rsidRDefault="00000000" w:rsidRPr="00000000" w14:paraId="000000A0">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Modalidad: indique sólo la modalidad que le corresponde: Heterogéneo. Servicio educativo MEP en centros de cuido y desarrollo infantil. Servicios educativos amparados bajo el decreto 42165-MEP(acreditados). Inglés inmersivo. Francés inmersivo.</w:t>
      </w:r>
    </w:p>
    <w:p w:rsidR="00000000" w:rsidDel="00000000" w:rsidP="00000000" w:rsidRDefault="00000000" w:rsidRPr="00000000" w14:paraId="000000A1">
      <w:pPr>
        <w:pStyle w:val="Heading2"/>
        <w:spacing w:after="40" w:line="360" w:lineRule="auto"/>
        <w:rPr>
          <w:rFonts w:ascii="Arial" w:cs="Arial" w:eastAsia="Arial" w:hAnsi="Arial"/>
          <w:b w:val="1"/>
          <w:color w:val="000000"/>
          <w:sz w:val="28"/>
          <w:szCs w:val="28"/>
        </w:rPr>
      </w:pPr>
      <w:bookmarkStart w:colFirst="0" w:colLast="0" w:name="_heading=h.ihdyb5kvldi8" w:id="9"/>
      <w:bookmarkEnd w:id="9"/>
      <w:r w:rsidDel="00000000" w:rsidR="00000000" w:rsidRPr="00000000">
        <w:rPr>
          <w:rFonts w:ascii="Arial" w:cs="Arial" w:eastAsia="Arial" w:hAnsi="Arial"/>
          <w:b w:val="1"/>
          <w:color w:val="000000"/>
          <w:sz w:val="28"/>
          <w:szCs w:val="28"/>
          <w:rtl w:val="0"/>
        </w:rPr>
        <w:t xml:space="preserve">Competencia general (marque con una equis la competencia con la que está trabajando):</w:t>
      </w:r>
    </w:p>
    <w:p w:rsidR="00000000" w:rsidDel="00000000" w:rsidP="00000000" w:rsidRDefault="00000000" w:rsidRPr="00000000" w14:paraId="000000A2">
      <w:pPr>
        <w:rPr>
          <w:rFonts w:ascii="Arial" w:cs="Arial" w:eastAsia="Arial" w:hAnsi="Arial"/>
          <w:sz w:val="24"/>
          <w:szCs w:val="24"/>
        </w:rPr>
      </w:pPr>
      <w:r w:rsidDel="00000000" w:rsidR="00000000" w:rsidRPr="00000000">
        <w:rPr>
          <w:rFonts w:ascii="Arial" w:cs="Arial" w:eastAsia="Arial" w:hAnsi="Arial"/>
          <w:sz w:val="24"/>
          <w:szCs w:val="24"/>
          <w:rtl w:val="0"/>
        </w:rPr>
        <w:t xml:space="preserve">Ciudadanía responsable y solidaria (   )</w:t>
      </w:r>
    </w:p>
    <w:p w:rsidR="00000000" w:rsidDel="00000000" w:rsidP="00000000" w:rsidRDefault="00000000" w:rsidRPr="00000000" w14:paraId="000000A3">
      <w:pPr>
        <w:rPr>
          <w:rFonts w:ascii="Arial" w:cs="Arial" w:eastAsia="Arial" w:hAnsi="Arial"/>
          <w:sz w:val="24"/>
          <w:szCs w:val="24"/>
        </w:rPr>
      </w:pPr>
      <w:r w:rsidDel="00000000" w:rsidR="00000000" w:rsidRPr="00000000">
        <w:rPr>
          <w:rFonts w:ascii="Arial" w:cs="Arial" w:eastAsia="Arial" w:hAnsi="Arial"/>
          <w:sz w:val="24"/>
          <w:szCs w:val="24"/>
          <w:rtl w:val="0"/>
        </w:rPr>
        <w:t xml:space="preserve">Competencias para la vida (   )</w:t>
      </w:r>
    </w:p>
    <w:p w:rsidR="00000000" w:rsidDel="00000000" w:rsidP="00000000" w:rsidRDefault="00000000" w:rsidRPr="00000000" w14:paraId="000000A4">
      <w:pPr>
        <w:rPr>
          <w:rFonts w:ascii="Arial" w:cs="Arial" w:eastAsia="Arial" w:hAnsi="Arial"/>
          <w:sz w:val="24"/>
          <w:szCs w:val="24"/>
        </w:rPr>
      </w:pPr>
      <w:r w:rsidDel="00000000" w:rsidR="00000000" w:rsidRPr="00000000">
        <w:rPr>
          <w:rFonts w:ascii="Arial" w:cs="Arial" w:eastAsia="Arial" w:hAnsi="Arial"/>
          <w:sz w:val="24"/>
          <w:szCs w:val="24"/>
          <w:rtl w:val="0"/>
        </w:rPr>
        <w:t xml:space="preserve">Competencias para la empleabilidad digna (   )</w:t>
      </w:r>
    </w:p>
    <w:p w:rsidR="00000000" w:rsidDel="00000000" w:rsidP="00000000" w:rsidRDefault="00000000" w:rsidRPr="00000000" w14:paraId="000000A5">
      <w:pPr>
        <w:spacing w:after="40" w:before="40" w:line="360" w:lineRule="auto"/>
        <w:rPr>
          <w:rFonts w:ascii="Arial" w:cs="Arial" w:eastAsia="Arial" w:hAnsi="Arial"/>
          <w:b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A6">
      <w:pPr>
        <w:pStyle w:val="Heading2"/>
        <w:spacing w:after="40" w:line="360" w:lineRule="auto"/>
        <w:rPr>
          <w:rFonts w:ascii="Arial" w:cs="Arial" w:eastAsia="Arial" w:hAnsi="Arial"/>
          <w:b w:val="1"/>
          <w:color w:val="000000"/>
          <w:sz w:val="28"/>
          <w:szCs w:val="28"/>
        </w:rPr>
      </w:pPr>
      <w:bookmarkStart w:colFirst="0" w:colLast="0" w:name="_heading=h.4i7ojhp" w:id="10"/>
      <w:bookmarkEnd w:id="10"/>
      <w:r w:rsidDel="00000000" w:rsidR="00000000" w:rsidRPr="00000000">
        <w:rPr>
          <w:rFonts w:ascii="Arial" w:cs="Arial" w:eastAsia="Arial" w:hAnsi="Arial"/>
          <w:b w:val="1"/>
          <w:color w:val="000000"/>
          <w:sz w:val="28"/>
          <w:szCs w:val="28"/>
          <w:rtl w:val="0"/>
        </w:rPr>
        <w:t xml:space="preserve">Sección I. Habilidades en el marco de la política curricular</w:t>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Dimensión: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Maneras de pensar.</w:t>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Habilidad: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Pensamiento crítico.</w:t>
      </w:r>
      <w:r w:rsidDel="00000000" w:rsidR="00000000" w:rsidRPr="00000000">
        <w:rPr>
          <w:rtl w:val="0"/>
        </w:rPr>
      </w:r>
    </w:p>
    <w:p w:rsidR="00000000" w:rsidDel="00000000" w:rsidP="00000000" w:rsidRDefault="00000000" w:rsidRPr="00000000" w14:paraId="000000A9">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Habilidad para mejorar la calidad del pensamiento y apropiarse de las estructuras cognitivas aceptadas universalmente (claridad, exactitud, precisión, relevancia, profundidad, importancia).</w:t>
      </w:r>
    </w:p>
    <w:p w:rsidR="00000000" w:rsidDel="00000000" w:rsidP="00000000" w:rsidRDefault="00000000" w:rsidRPr="00000000" w14:paraId="000000AA">
      <w:pPr>
        <w:spacing w:after="40" w:before="40" w:line="36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B">
      <w:pPr>
        <w:keepNext w:val="1"/>
        <w:pBdr>
          <w:top w:space="0" w:sz="0" w:val="nil"/>
          <w:left w:space="0" w:sz="0" w:val="nil"/>
          <w:bottom w:space="0" w:sz="0" w:val="nil"/>
          <w:right w:space="0" w:sz="0" w:val="nil"/>
          <w:between w:space="0" w:sz="0" w:val="nil"/>
        </w:pBdr>
        <w:spacing w:after="240" w:line="360" w:lineRule="auto"/>
        <w:rPr>
          <w:rFonts w:ascii="Arial" w:cs="Arial" w:eastAsia="Arial" w:hAnsi="Arial"/>
          <w:color w:val="44546a"/>
          <w:sz w:val="18"/>
          <w:szCs w:val="18"/>
        </w:rPr>
      </w:pPr>
      <w:r w:rsidDel="00000000" w:rsidR="00000000" w:rsidRPr="00000000">
        <w:rPr>
          <w:rFonts w:ascii="Arial" w:cs="Arial" w:eastAsia="Arial" w:hAnsi="Arial"/>
          <w:color w:val="44546a"/>
          <w:sz w:val="18"/>
          <w:szCs w:val="18"/>
          <w:rtl w:val="0"/>
        </w:rPr>
        <w:t xml:space="preserve">Tabla 4 / Habilidades en el marco de la política curricular</w:t>
      </w:r>
    </w:p>
    <w:tbl>
      <w:tblPr>
        <w:tblStyle w:val="Table4"/>
        <w:tblW w:w="1290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00"/>
        <w:tblGridChange w:id="0">
          <w:tblGrid>
            <w:gridCol w:w="12900"/>
          </w:tblGrid>
        </w:tblGridChange>
      </w:tblGrid>
      <w:tr>
        <w:trPr>
          <w:cantSplit w:val="0"/>
          <w:tblHeader w:val="0"/>
        </w:trPr>
        <w:tc>
          <w:tcPr>
            <w:shd w:fill="ffffff" w:val="clear"/>
            <w:vAlign w:val="center"/>
          </w:tcPr>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 (Pautas para el desarrollo de la habilidad)</w:t>
            </w:r>
          </w:p>
        </w:tc>
      </w:tr>
      <w:tr>
        <w:trPr>
          <w:cantSplit w:val="0"/>
          <w:trHeight w:val="1170" w:hRule="atLeast"/>
          <w:tblHeader w:val="0"/>
        </w:trPr>
        <w:tc>
          <w:tcPr>
            <w:shd w:fill="ffffff" w:val="clear"/>
            <w:vAlign w:val="center"/>
          </w:tcPr>
          <w:p w:rsidR="00000000" w:rsidDel="00000000" w:rsidP="00000000" w:rsidRDefault="00000000" w:rsidRPr="00000000" w14:paraId="000000AD">
            <w:pPr>
              <w:spacing w:after="40" w:before="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Razonamiento efectivo</w:t>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Evalúa los supuestos y los propósitos de los razonamientos que explican los problemas y preguntas vitales.</w:t>
            </w:r>
          </w:p>
        </w:tc>
      </w:tr>
      <w:tr>
        <w:trPr>
          <w:cantSplit w:val="0"/>
          <w:trHeight w:val="1170" w:hRule="atLeast"/>
          <w:tblHeader w:val="0"/>
        </w:trPr>
        <w:tc>
          <w:tcPr>
            <w:shd w:fill="ffffff" w:val="clear"/>
            <w:vAlign w:val="center"/>
          </w:tcPr>
          <w:p w:rsidR="00000000" w:rsidDel="00000000" w:rsidP="00000000" w:rsidRDefault="00000000" w:rsidRPr="00000000" w14:paraId="000000AF">
            <w:pPr>
              <w:spacing w:after="40" w:before="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Argumentación</w:t>
            </w:r>
          </w:p>
          <w:p w:rsidR="00000000" w:rsidDel="00000000" w:rsidP="00000000" w:rsidRDefault="00000000" w:rsidRPr="00000000" w14:paraId="000000B0">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Fundamenta su pensamiento con precisión, evidencia enunciados, gráficas y preguntas, entre otros.</w:t>
            </w:r>
          </w:p>
        </w:tc>
      </w:tr>
      <w:tr>
        <w:trPr>
          <w:cantSplit w:val="0"/>
          <w:trHeight w:val="1170" w:hRule="atLeast"/>
          <w:tblHeader w:val="0"/>
        </w:trPr>
        <w:tc>
          <w:tcPr>
            <w:shd w:fill="ffffff" w:val="clear"/>
            <w:vAlign w:val="center"/>
          </w:tcPr>
          <w:p w:rsidR="00000000" w:rsidDel="00000000" w:rsidP="00000000" w:rsidRDefault="00000000" w:rsidRPr="00000000" w14:paraId="000000B1">
            <w:pPr>
              <w:spacing w:after="40" w:before="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Toma de decisiones</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Infiere los argumentos y las ideas principales, así como los pro y contra de diversos puntos de vista.</w:t>
            </w:r>
          </w:p>
        </w:tc>
      </w:tr>
    </w:tbl>
    <w:p w:rsidR="00000000" w:rsidDel="00000000" w:rsidP="00000000" w:rsidRDefault="00000000" w:rsidRPr="00000000" w14:paraId="000000B3">
      <w:pPr>
        <w:spacing w:after="40" w:before="40" w:line="360" w:lineRule="auto"/>
        <w:rPr>
          <w:rFonts w:ascii="Arial" w:cs="Arial" w:eastAsia="Arial" w:hAnsi="Arial"/>
          <w:b w:val="1"/>
        </w:rPr>
      </w:pPr>
      <w:r w:rsidDel="00000000" w:rsidR="00000000" w:rsidRPr="00000000">
        <w:br w:type="page"/>
      </w:r>
      <w:r w:rsidDel="00000000" w:rsidR="00000000" w:rsidRPr="00000000">
        <w:rPr>
          <w:rtl w:val="0"/>
        </w:rPr>
      </w:r>
    </w:p>
    <w:p w:rsidR="00000000" w:rsidDel="00000000" w:rsidP="00000000" w:rsidRDefault="00000000" w:rsidRPr="00000000" w14:paraId="000000B4">
      <w:pPr>
        <w:pStyle w:val="Heading2"/>
        <w:spacing w:after="40" w:line="360" w:lineRule="auto"/>
        <w:rPr>
          <w:rFonts w:ascii="Arial" w:cs="Arial" w:eastAsia="Arial" w:hAnsi="Arial"/>
          <w:b w:val="1"/>
          <w:color w:val="000000"/>
          <w:sz w:val="28"/>
          <w:szCs w:val="28"/>
        </w:rPr>
      </w:pPr>
      <w:bookmarkStart w:colFirst="0" w:colLast="0" w:name="_heading=h.2xcytpi" w:id="11"/>
      <w:bookmarkEnd w:id="11"/>
      <w:r w:rsidDel="00000000" w:rsidR="00000000" w:rsidRPr="00000000">
        <w:rPr>
          <w:rFonts w:ascii="Arial" w:cs="Arial" w:eastAsia="Arial" w:hAnsi="Arial"/>
          <w:b w:val="1"/>
          <w:color w:val="000000"/>
          <w:sz w:val="28"/>
          <w:szCs w:val="28"/>
          <w:rtl w:val="0"/>
        </w:rPr>
        <w:t xml:space="preserve">Sección II. Aprendizajes esperados, indicadores de los aprendizajes esperados y estrategias de mediación.</w:t>
      </w:r>
    </w:p>
    <w:p w:rsidR="00000000" w:rsidDel="00000000" w:rsidP="00000000" w:rsidRDefault="00000000" w:rsidRPr="00000000" w14:paraId="000000B5">
      <w:pPr>
        <w:keepNext w:val="1"/>
        <w:pBdr>
          <w:top w:space="0" w:sz="0" w:val="nil"/>
          <w:left w:space="0" w:sz="0" w:val="nil"/>
          <w:bottom w:space="0" w:sz="0" w:val="nil"/>
          <w:right w:space="0" w:sz="0" w:val="nil"/>
          <w:between w:space="0" w:sz="0" w:val="nil"/>
        </w:pBdr>
        <w:spacing w:after="240" w:line="360" w:lineRule="auto"/>
        <w:rPr>
          <w:rFonts w:ascii="Arial" w:cs="Arial" w:eastAsia="Arial" w:hAnsi="Arial"/>
          <w:color w:val="44546a"/>
          <w:sz w:val="18"/>
          <w:szCs w:val="18"/>
        </w:rPr>
      </w:pPr>
      <w:r w:rsidDel="00000000" w:rsidR="00000000" w:rsidRPr="00000000">
        <w:rPr>
          <w:rtl w:val="0"/>
        </w:rPr>
      </w:r>
    </w:p>
    <w:p w:rsidR="00000000" w:rsidDel="00000000" w:rsidP="00000000" w:rsidRDefault="00000000" w:rsidRPr="00000000" w14:paraId="000000B6">
      <w:pPr>
        <w:keepNext w:val="1"/>
        <w:pBdr>
          <w:top w:space="0" w:sz="0" w:val="nil"/>
          <w:left w:space="0" w:sz="0" w:val="nil"/>
          <w:bottom w:space="0" w:sz="0" w:val="nil"/>
          <w:right w:space="0" w:sz="0" w:val="nil"/>
          <w:between w:space="0" w:sz="0" w:val="nil"/>
        </w:pBdr>
        <w:spacing w:after="240" w:line="360" w:lineRule="auto"/>
        <w:rPr>
          <w:rFonts w:ascii="Arial" w:cs="Arial" w:eastAsia="Arial" w:hAnsi="Arial"/>
          <w:color w:val="44546a"/>
          <w:sz w:val="18"/>
          <w:szCs w:val="18"/>
        </w:rPr>
      </w:pPr>
      <w:r w:rsidDel="00000000" w:rsidR="00000000" w:rsidRPr="00000000">
        <w:rPr>
          <w:rFonts w:ascii="Arial" w:cs="Arial" w:eastAsia="Arial" w:hAnsi="Arial"/>
          <w:color w:val="44546a"/>
          <w:sz w:val="18"/>
          <w:szCs w:val="18"/>
          <w:rtl w:val="0"/>
        </w:rPr>
        <w:t xml:space="preserve">Tabla 5 / Aprendizajes esperados, indicadores y estrategias de mediación</w:t>
      </w:r>
    </w:p>
    <w:tbl>
      <w:tblPr>
        <w:tblStyle w:val="Table5"/>
        <w:tblW w:w="1317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22"/>
        <w:gridCol w:w="5053"/>
        <w:gridCol w:w="5103"/>
        <w:tblGridChange w:id="0">
          <w:tblGrid>
            <w:gridCol w:w="3022"/>
            <w:gridCol w:w="5053"/>
            <w:gridCol w:w="5103"/>
          </w:tblGrid>
        </w:tblGridChange>
      </w:tblGrid>
      <w:tr>
        <w:trPr>
          <w:cantSplit w:val="0"/>
          <w:tblHeader w:val="1"/>
        </w:trPr>
        <w:tc>
          <w:tcPr>
            <w:shd w:fill="auto" w:val="clear"/>
            <w:vAlign w:val="center"/>
          </w:tcPr>
          <w:p w:rsidR="00000000" w:rsidDel="00000000" w:rsidP="00000000" w:rsidRDefault="00000000" w:rsidRPr="00000000" w14:paraId="000000B7">
            <w:pPr>
              <w:spacing w:after="40" w:before="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Aprendizaje esperado</w:t>
            </w:r>
          </w:p>
          <w:p w:rsidR="00000000" w:rsidDel="00000000" w:rsidP="00000000" w:rsidRDefault="00000000" w:rsidRPr="00000000" w14:paraId="000000B8">
            <w:pPr>
              <w:spacing w:after="40" w:before="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(Componente del programa de estudio)</w:t>
            </w:r>
          </w:p>
        </w:tc>
        <w:tc>
          <w:tcPr>
            <w:shd w:fill="auto" w:val="clear"/>
            <w:vAlign w:val="center"/>
          </w:tcPr>
          <w:p w:rsidR="00000000" w:rsidDel="00000000" w:rsidP="00000000" w:rsidRDefault="00000000" w:rsidRPr="00000000" w14:paraId="000000B9">
            <w:pPr>
              <w:spacing w:after="40" w:before="40" w:line="360" w:lineRule="auto"/>
              <w:jc w:val="center"/>
              <w:rPr>
                <w:rFonts w:ascii="Arial" w:cs="Arial" w:eastAsia="Arial" w:hAnsi="Arial"/>
                <w:b w:val="1"/>
                <w:sz w:val="24"/>
                <w:szCs w:val="24"/>
              </w:rPr>
            </w:pPr>
            <w:bookmarkStart w:colFirst="0" w:colLast="0" w:name="_heading=h.1ci93xb" w:id="12"/>
            <w:bookmarkEnd w:id="12"/>
            <w:r w:rsidDel="00000000" w:rsidR="00000000" w:rsidRPr="00000000">
              <w:rPr>
                <w:rFonts w:ascii="Arial" w:cs="Arial" w:eastAsia="Arial" w:hAnsi="Arial"/>
                <w:b w:val="1"/>
                <w:sz w:val="24"/>
                <w:szCs w:val="24"/>
                <w:rtl w:val="0"/>
              </w:rPr>
              <w:t xml:space="preserve">Indicador del aprendizaje esperado (aprendizaje esperado más la habilidad)</w:t>
            </w:r>
          </w:p>
        </w:tc>
        <w:tc>
          <w:tcPr>
            <w:shd w:fill="auto" w:val="clear"/>
            <w:vAlign w:val="center"/>
          </w:tcPr>
          <w:p w:rsidR="00000000" w:rsidDel="00000000" w:rsidP="00000000" w:rsidRDefault="00000000" w:rsidRPr="00000000" w14:paraId="000000BA">
            <w:pPr>
              <w:spacing w:after="40" w:before="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Estrategias de Mediación</w:t>
            </w:r>
          </w:p>
        </w:tc>
      </w:tr>
      <w:tr>
        <w:trPr>
          <w:cantSplit w:val="0"/>
          <w:trHeight w:val="914" w:hRule="atLeast"/>
          <w:tblHeader w:val="0"/>
        </w:trPr>
        <w:tc>
          <w:tcPr>
            <w:shd w:fill="auto" w:val="clear"/>
          </w:tcPr>
          <w:p w:rsidR="00000000" w:rsidDel="00000000" w:rsidP="00000000" w:rsidRDefault="00000000" w:rsidRPr="00000000" w14:paraId="000000BB">
            <w:pPr>
              <w:spacing w:after="40" w:before="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Conservación de la cantidad</w:t>
            </w:r>
          </w:p>
        </w:tc>
        <w:tc>
          <w:tcPr>
            <w:shd w:fill="auto" w:val="clear"/>
          </w:tcPr>
          <w:p w:rsidR="00000000" w:rsidDel="00000000" w:rsidP="00000000" w:rsidRDefault="00000000" w:rsidRPr="00000000" w14:paraId="000000B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40" w:before="40" w:line="360" w:lineRule="auto"/>
              <w:ind w:left="3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 variedad de objetos que contienen una misma cantidad de materia, para explicar problemas y preguntas en su entorno inmediato.</w:t>
            </w:r>
          </w:p>
          <w:p w:rsidR="00000000" w:rsidDel="00000000" w:rsidP="00000000" w:rsidRDefault="00000000" w:rsidRPr="00000000" w14:paraId="000000B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40" w:before="40" w:line="360" w:lineRule="auto"/>
              <w:ind w:left="3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Construye la noción de conservación de la cantidad, al modificar la forma de los objetos que se encuentran en su entorno inmediato.</w:t>
            </w:r>
          </w:p>
          <w:p w:rsidR="00000000" w:rsidDel="00000000" w:rsidP="00000000" w:rsidRDefault="00000000" w:rsidRPr="00000000" w14:paraId="000000B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40" w:before="40" w:line="360" w:lineRule="auto"/>
              <w:ind w:left="3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Adquiere progresivamente, la noción de conservación de la cantidad de los objetos, para la toma de decisiones.</w:t>
            </w:r>
          </w:p>
        </w:tc>
        <w:tc>
          <w:tcPr>
            <w:shd w:fill="auto" w:val="clear"/>
          </w:tcPr>
          <w:p w:rsidR="00000000" w:rsidDel="00000000" w:rsidP="00000000" w:rsidRDefault="00000000" w:rsidRPr="00000000" w14:paraId="000000BF">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Los niños y las niñas, según sus </w:t>
            </w:r>
            <w:r w:rsidDel="00000000" w:rsidR="00000000" w:rsidRPr="00000000">
              <w:rPr>
                <w:rFonts w:ascii="Arial" w:cs="Arial" w:eastAsia="Arial" w:hAnsi="Arial"/>
                <w:b w:val="1"/>
                <w:sz w:val="24"/>
                <w:szCs w:val="24"/>
                <w:rtl w:val="0"/>
              </w:rPr>
              <w:t xml:space="preserve">posibilidades</w:t>
            </w:r>
            <w:r w:rsidDel="00000000" w:rsidR="00000000" w:rsidRPr="00000000">
              <w:rPr>
                <w:rFonts w:ascii="Arial" w:cs="Arial" w:eastAsia="Arial" w:hAnsi="Arial"/>
                <w:sz w:val="24"/>
                <w:szCs w:val="24"/>
                <w:rtl w:val="0"/>
              </w:rPr>
              <w:t xml:space="preserve">, desarrollan esta habilidad cuando:</w:t>
            </w:r>
          </w:p>
          <w:p w:rsidR="00000000" w:rsidDel="00000000" w:rsidP="00000000" w:rsidRDefault="00000000" w:rsidRPr="00000000" w14:paraId="000000C0">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-Utilizan el vocabulario igual, más que y menos que para describir materiales concretos durante actividades cotidianas, por ejemplo</w:t>
            </w:r>
            <w:r w:rsidDel="00000000" w:rsidR="00000000" w:rsidRPr="00000000">
              <w:rPr>
                <w:rFonts w:ascii="Arial" w:cs="Arial" w:eastAsia="Arial" w:hAnsi="Arial"/>
                <w:color w:val="4471c4"/>
                <w:sz w:val="24"/>
                <w:szCs w:val="24"/>
                <w:rtl w:val="0"/>
              </w:rPr>
              <w:t xml:space="preserve">,</w:t>
            </w:r>
            <w:r w:rsidDel="00000000" w:rsidR="00000000" w:rsidRPr="00000000">
              <w:rPr>
                <w:rFonts w:ascii="Arial" w:cs="Arial" w:eastAsia="Arial" w:hAnsi="Arial"/>
                <w:sz w:val="24"/>
                <w:szCs w:val="24"/>
                <w:rtl w:val="0"/>
              </w:rPr>
              <w:t xml:space="preserve"> para describir cuál subgrupo tienen más niñas, cuál plato tiene menos sopa o si las cajas tienen igual cantidad de lápices de color. </w:t>
            </w:r>
          </w:p>
          <w:p w:rsidR="00000000" w:rsidDel="00000000" w:rsidP="00000000" w:rsidRDefault="00000000" w:rsidRPr="00000000" w14:paraId="000000C1">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-Observan grupos de objetos y comparan sus características, haciendo especial énfasis en su cantidad. Para esto se familiarizan con el vocabulario: como igual, más que y menos que. Durante esta actividad, responden a preguntas y utilizan rutinas de pensamiento para explicar sus ideas (ver Anexo 1).</w:t>
            </w:r>
          </w:p>
          <w:p w:rsidR="00000000" w:rsidDel="00000000" w:rsidP="00000000" w:rsidRDefault="00000000" w:rsidRPr="00000000" w14:paraId="000000C2">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-Juegan “memoria”, utilizando tarjetas con representaciones numéricas agrupadas en 5 (ver Recursos de apoyo). Pueden jugar individualmente o en pequeños grupos. Esto para fortalecer su habilidad de reconocer cantidades de forma súbita, es decir subitizar.</w:t>
            </w:r>
          </w:p>
          <w:p w:rsidR="00000000" w:rsidDel="00000000" w:rsidP="00000000" w:rsidRDefault="00000000" w:rsidRPr="00000000" w14:paraId="000000C3">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-Se guían por tarjetas de instrucciones, las cuales contienen representaciones numéricas agrupadas en conjuntos de 5 o 10 (ver Recursos de apoyo), para realizar tareas cotidianas como ordenar materiales o poner la mesa para. En este proceso responden a preguntas como: “¿Hay más o menos libros que en la tarjeta?” “¿La cantidad de platos es igual a la que indica la tarjeta?”</w:t>
            </w:r>
          </w:p>
          <w:p w:rsidR="00000000" w:rsidDel="00000000" w:rsidP="00000000" w:rsidRDefault="00000000" w:rsidRPr="00000000" w14:paraId="000000C4">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-Se organizan en mesas de trabajo colaborativo para elaborar tarjetas con dibujos o recortes de objetos de su interés. Organizan estos objetos en grupos de 5, siguiendo el patrón de las tarjetas con representaciones numéricas (ver Recursos de apoyo). Luego, identifican en cuáles tarjetas hay igual cantidad de elementos, en cuáles hay más o menos. Durante esta actividad, responden a preguntas y utilizan rutinas de pensamiento para explicar sus ideas.</w:t>
            </w:r>
          </w:p>
          <w:p w:rsidR="00000000" w:rsidDel="00000000" w:rsidP="00000000" w:rsidRDefault="00000000" w:rsidRPr="00000000" w14:paraId="000000C5">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-Participan de espacios de juego libre en los que utilizan su capacidad de reconocer cantidades de forma súbita (es decir, subitizar) para interactuar y tomar decisiones. En el juego de verdulería las y los comparadores hacen peticiones a la o el verdulero utilizando tarjetas con representaciones numéricas agrupadas en 5 (ver Recursos de apoyo). Por su parte, la o el verdulero, siguiendo las indicaciones de cantidad, les entrega los productos solicitados (ver Anexo 1).</w:t>
            </w:r>
          </w:p>
          <w:p w:rsidR="00000000" w:rsidDel="00000000" w:rsidP="00000000" w:rsidRDefault="00000000" w:rsidRPr="00000000" w14:paraId="000000C6">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-Manipulan objetos y grupos de objetos, poniendo especial atención en su cantidad y describiéndolos por medio de vocabulario como igual, más que y menos que. Analizan si cuando cambia la posición de los elementos, cambia o no la cantidad de los mismos. Durante esta actividad, responden a preguntas y utilizan rutinas de pensamiento para explicar sus ideas.</w:t>
            </w:r>
          </w:p>
          <w:p w:rsidR="00000000" w:rsidDel="00000000" w:rsidP="00000000" w:rsidRDefault="00000000" w:rsidRPr="00000000" w14:paraId="000000C7">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-Juegan a las y los exploradores al recoger elementos de la naturaleza (agua, tierra, piedras, ramas). Posteriormente, en mesas de trabajo colaborativo diseñadas con el propósito de promover el análisis de la noción de conservación de la cantidad, estudian las interacciones entre estos elementos y distintos recipientes. Modifican la forma o posición de estos elementos, documentan estos cambios y analizan si implican alguna variación en su cantidad.</w:t>
            </w:r>
          </w:p>
          <w:p w:rsidR="00000000" w:rsidDel="00000000" w:rsidP="00000000" w:rsidRDefault="00000000" w:rsidRPr="00000000" w14:paraId="000000C8">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-Analizan y resuelven retos al realizar recetas en las que siguen instrucciones para manipular diversos ingredientes (ej. masa, agua), modificando su forma o posición de los elementos. Durante esta actividad resuelven retos y contestan interrogantes que les llevan a analizar si, ante esta manipulación, la cantidad de masa o el número de elementos cambió. Terminan compartiendo los alimentos que cocinaron en un ambiente de cooperación y celebración (ver Anexo 2).</w:t>
            </w:r>
          </w:p>
          <w:p w:rsidR="00000000" w:rsidDel="00000000" w:rsidP="00000000" w:rsidRDefault="00000000" w:rsidRPr="00000000" w14:paraId="000000C9">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-Elaboran creaciones artísticas con plastilina y otros materiales </w:t>
            </w:r>
            <w:r w:rsidDel="00000000" w:rsidR="00000000" w:rsidRPr="00000000">
              <w:rPr>
                <w:rFonts w:ascii="Arial" w:cs="Arial" w:eastAsia="Arial" w:hAnsi="Arial"/>
                <w:color w:val="000000"/>
                <w:sz w:val="24"/>
                <w:szCs w:val="24"/>
                <w:rtl w:val="0"/>
              </w:rPr>
              <w:t xml:space="preserve">moldeables según sus posibilidades. Durante est</w:t>
            </w:r>
            <w:r w:rsidDel="00000000" w:rsidR="00000000" w:rsidRPr="00000000">
              <w:rPr>
                <w:rFonts w:ascii="Arial" w:cs="Arial" w:eastAsia="Arial" w:hAnsi="Arial"/>
                <w:sz w:val="24"/>
                <w:szCs w:val="24"/>
                <w:rtl w:val="0"/>
              </w:rPr>
              <w:t xml:space="preserve">e ejercicio contestan interrogantes que les invitan a analizar si las modificaciones que están realizando en la plastilina, implican o no una modificación en la cantidad de masa. Expresan sus ideas y las argumentan, escuchan las ideas de sus pares y llegan a conclusiones.</w:t>
            </w:r>
          </w:p>
          <w:p w:rsidR="00000000" w:rsidDel="00000000" w:rsidP="00000000" w:rsidRDefault="00000000" w:rsidRPr="00000000" w14:paraId="000000CA">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-Leen en conjunto, utilizando la estrategia de lectura dialogada, cuentos en los que se les plantean retos matemáticos que les llevan analizar conjuntos de elementos y tomar decisiones que implican considerar la noción de conservación de la cantidad. Al resolver estos retos visibilizan sus procesos de pensamiento, escuchan las ideas de sus pares, las documentan, buscan evidencia para fundamentarlas y llegan a conclusiones (ver Anexo 3).</w:t>
            </w:r>
          </w:p>
          <w:p w:rsidR="00000000" w:rsidDel="00000000" w:rsidP="00000000" w:rsidRDefault="00000000" w:rsidRPr="00000000" w14:paraId="000000CB">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-Utilizan legos para crear diversas figuras, algunas desde su imaginación y otras siguiendo instrucciones de la persona docente u otras compañeras y compañeros. Durante esta actividad siguen indicaciones para lograr conjuntos de legos con más, menos o igual cantidad de piezas; además responden preguntas que les llevan a evaluar si las transformaciones que van realizando, implican o no una modificación en la cantidad de elementos (piezas de lego).</w:t>
            </w:r>
          </w:p>
          <w:p w:rsidR="00000000" w:rsidDel="00000000" w:rsidP="00000000" w:rsidRDefault="00000000" w:rsidRPr="00000000" w14:paraId="000000CC">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-Trabajan en grupo para superar una carrera de retos. Algunos de los retos (ambientales) implican el uso de sus habilidades de sentido numérico y en especial la comprensión de la noción de conservación de la cantidad, además del pensamiento crítico y la colaboración. Terminados los retos se reúnen para visibilizar sus procesos de pensamiento, evaluar errores y sacar conclusiones.</w:t>
            </w:r>
          </w:p>
          <w:p w:rsidR="00000000" w:rsidDel="00000000" w:rsidP="00000000" w:rsidRDefault="00000000" w:rsidRPr="00000000" w14:paraId="000000CD">
            <w:pPr>
              <w:spacing w:after="40" w:before="40" w:line="360" w:lineRule="auto"/>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0CE">
      <w:pPr>
        <w:spacing w:after="40" w:before="240" w:line="360" w:lineRule="auto"/>
        <w:rPr>
          <w:rFonts w:ascii="Arial" w:cs="Arial" w:eastAsia="Arial" w:hAnsi="Arial"/>
        </w:rPr>
      </w:pPr>
      <w:r w:rsidDel="00000000" w:rsidR="00000000" w:rsidRPr="00000000">
        <w:rPr>
          <w:rFonts w:ascii="Arial" w:cs="Arial" w:eastAsia="Arial" w:hAnsi="Arial"/>
          <w:sz w:val="24"/>
          <w:szCs w:val="24"/>
          <w:rtl w:val="0"/>
        </w:rPr>
        <w:t xml:space="preserve">Observaciones: Este espacio es designado para que la persona docente anote la información adicional relevante que considere pertinente (Esta información debe ser elaborada por la docente).</w:t>
      </w:r>
      <w:r w:rsidDel="00000000" w:rsidR="00000000" w:rsidRPr="00000000">
        <w:rPr>
          <w:rtl w:val="0"/>
        </w:rPr>
      </w:r>
    </w:p>
    <w:p w:rsidR="00000000" w:rsidDel="00000000" w:rsidP="00000000" w:rsidRDefault="00000000" w:rsidRPr="00000000" w14:paraId="000000CF">
      <w:pPr>
        <w:pStyle w:val="Heading2"/>
        <w:spacing w:after="40" w:line="360" w:lineRule="auto"/>
        <w:rPr>
          <w:rFonts w:ascii="Arial" w:cs="Arial" w:eastAsia="Arial" w:hAnsi="Arial"/>
          <w:b w:val="1"/>
          <w:color w:val="000000"/>
        </w:rPr>
      </w:pPr>
      <w:bookmarkStart w:colFirst="0" w:colLast="0" w:name="_heading=h.3whwml4" w:id="13"/>
      <w:bookmarkEnd w:id="13"/>
      <w:r w:rsidDel="00000000" w:rsidR="00000000" w:rsidRPr="00000000">
        <w:br w:type="page"/>
      </w:r>
      <w:r w:rsidDel="00000000" w:rsidR="00000000" w:rsidRPr="00000000">
        <w:rPr>
          <w:rFonts w:ascii="Arial" w:cs="Arial" w:eastAsia="Arial" w:hAnsi="Arial"/>
          <w:b w:val="1"/>
          <w:color w:val="000000"/>
          <w:sz w:val="28"/>
          <w:szCs w:val="28"/>
          <w:rtl w:val="0"/>
        </w:rPr>
        <w:t xml:space="preserve">Sección III. Instrumento de evaluación</w:t>
      </w:r>
      <w:r w:rsidDel="00000000" w:rsidR="00000000" w:rsidRPr="00000000">
        <w:rPr>
          <w:rtl w:val="0"/>
        </w:rPr>
      </w:r>
    </w:p>
    <w:p w:rsidR="00000000" w:rsidDel="00000000" w:rsidP="00000000" w:rsidRDefault="00000000" w:rsidRPr="00000000" w14:paraId="000000D0">
      <w:pPr>
        <w:rPr>
          <w:rFonts w:ascii="Arial" w:cs="Arial" w:eastAsia="Arial" w:hAnsi="Arial"/>
          <w:b w:val="1"/>
          <w:i w:val="1"/>
          <w:sz w:val="24"/>
          <w:szCs w:val="24"/>
        </w:rPr>
      </w:pPr>
      <w:r w:rsidDel="00000000" w:rsidR="00000000" w:rsidRPr="00000000">
        <w:rPr>
          <w:rFonts w:ascii="Arial" w:cs="Arial" w:eastAsia="Arial" w:hAnsi="Arial"/>
          <w:b w:val="1"/>
          <w:sz w:val="24"/>
          <w:szCs w:val="24"/>
          <w:rtl w:val="0"/>
        </w:rPr>
        <w:t xml:space="preserve">Razonamiento efectivo</w:t>
      </w:r>
      <w:r w:rsidDel="00000000" w:rsidR="00000000" w:rsidRPr="00000000">
        <w:rPr>
          <w:rtl w:val="0"/>
        </w:rPr>
      </w:r>
    </w:p>
    <w:p w:rsidR="00000000" w:rsidDel="00000000" w:rsidP="00000000" w:rsidRDefault="00000000" w:rsidRPr="00000000" w14:paraId="000000D1">
      <w:pPr>
        <w:keepNext w:val="1"/>
        <w:pBdr>
          <w:top w:space="0" w:sz="0" w:val="nil"/>
          <w:left w:space="0" w:sz="0" w:val="nil"/>
          <w:bottom w:space="0" w:sz="0" w:val="nil"/>
          <w:right w:space="0" w:sz="0" w:val="nil"/>
          <w:between w:space="0" w:sz="0" w:val="nil"/>
        </w:pBdr>
        <w:spacing w:after="240" w:line="360" w:lineRule="auto"/>
        <w:rPr>
          <w:rFonts w:ascii="Arial" w:cs="Arial" w:eastAsia="Arial" w:hAnsi="Arial"/>
          <w:color w:val="44546a"/>
          <w:sz w:val="18"/>
          <w:szCs w:val="18"/>
        </w:rPr>
      </w:pPr>
      <w:r w:rsidDel="00000000" w:rsidR="00000000" w:rsidRPr="00000000">
        <w:rPr>
          <w:rFonts w:ascii="Arial" w:cs="Arial" w:eastAsia="Arial" w:hAnsi="Arial"/>
          <w:color w:val="44546a"/>
          <w:sz w:val="18"/>
          <w:szCs w:val="18"/>
          <w:rtl w:val="0"/>
        </w:rPr>
        <w:t xml:space="preserve">Tabla 6 / Razonamiento efectivo</w:t>
      </w:r>
    </w:p>
    <w:tbl>
      <w:tblPr>
        <w:tblStyle w:val="Table6"/>
        <w:tblW w:w="1417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0"/>
        <w:gridCol w:w="2835"/>
        <w:gridCol w:w="2835"/>
        <w:gridCol w:w="2956"/>
        <w:tblGridChange w:id="0">
          <w:tblGrid>
            <w:gridCol w:w="5550"/>
            <w:gridCol w:w="2835"/>
            <w:gridCol w:w="2835"/>
            <w:gridCol w:w="2956"/>
          </w:tblGrid>
        </w:tblGridChange>
      </w:tblGrid>
      <w:tr>
        <w:trPr>
          <w:cantSplit w:val="0"/>
          <w:trHeight w:val="526" w:hRule="atLeast"/>
          <w:tblHeader w:val="0"/>
        </w:trPr>
        <w:tc>
          <w:tcPr>
            <w:vAlign w:val="center"/>
          </w:tcPr>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0D3">
            <w:pPr>
              <w:spacing w:after="40" w:before="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0D4">
            <w:pPr>
              <w:spacing w:after="40" w:before="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0D5">
            <w:pPr>
              <w:spacing w:after="40" w:before="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 variedad de objetos que contienen una misma cantidad de materia, para explicar problemas y preguntas en su entorno inmediato.</w:t>
            </w:r>
          </w:p>
        </w:tc>
        <w:tc>
          <w:tcPr/>
          <w:p w:rsidR="00000000" w:rsidDel="00000000" w:rsidP="00000000" w:rsidRDefault="00000000" w:rsidRPr="00000000" w14:paraId="000000D7">
            <w:pPr>
              <w:spacing w:after="40" w:before="40" w:line="360" w:lineRule="auto"/>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Observa la variedad de objetos que contienen una misma cantidad de materia en su entorno inmediato</w:t>
            </w:r>
            <w:r w:rsidDel="00000000" w:rsidR="00000000" w:rsidRPr="00000000">
              <w:rPr>
                <w:rFonts w:ascii="Arial" w:cs="Arial" w:eastAsia="Arial" w:hAnsi="Arial"/>
                <w:color w:val="000000"/>
                <w:sz w:val="24"/>
                <w:szCs w:val="24"/>
                <w:highlight w:val="white"/>
                <w:rtl w:val="0"/>
              </w:rPr>
              <w:t xml:space="preserve">.</w:t>
            </w:r>
            <w:r w:rsidDel="00000000" w:rsidR="00000000" w:rsidRPr="00000000">
              <w:rPr>
                <w:rtl w:val="0"/>
              </w:rPr>
            </w:r>
          </w:p>
        </w:tc>
        <w:tc>
          <w:tcPr/>
          <w:p w:rsidR="00000000" w:rsidDel="00000000" w:rsidP="00000000" w:rsidRDefault="00000000" w:rsidRPr="00000000" w14:paraId="000000D8">
            <w:pPr>
              <w:spacing w:after="40" w:before="40" w:line="360" w:lineRule="auto"/>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Examina la variedad de objetos que contienen una misma cantidad de materia en su entorno inmediato.</w:t>
            </w:r>
            <w:r w:rsidDel="00000000" w:rsidR="00000000" w:rsidRPr="00000000">
              <w:rPr>
                <w:rtl w:val="0"/>
              </w:rPr>
            </w:r>
          </w:p>
        </w:tc>
        <w:tc>
          <w:tcPr/>
          <w:p w:rsidR="00000000" w:rsidDel="00000000" w:rsidP="00000000" w:rsidRDefault="00000000" w:rsidRPr="00000000" w14:paraId="000000D9">
            <w:pPr>
              <w:spacing w:after="40" w:before="40" w:line="360" w:lineRule="auto"/>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Indaga la variedad de objetos que contienen una misma cantidad de materia para explicar problemas y preguntas en su entorno inmediato.</w:t>
            </w:r>
            <w:r w:rsidDel="00000000" w:rsidR="00000000" w:rsidRPr="00000000">
              <w:rPr>
                <w:rtl w:val="0"/>
              </w:rPr>
            </w:r>
          </w:p>
        </w:tc>
      </w:tr>
    </w:tbl>
    <w:p w:rsidR="00000000" w:rsidDel="00000000" w:rsidP="00000000" w:rsidRDefault="00000000" w:rsidRPr="00000000" w14:paraId="000000DA">
      <w:pPr>
        <w:rPr>
          <w:rFonts w:ascii="Arial" w:cs="Arial" w:eastAsia="Arial" w:hAnsi="Arial"/>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DB">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Argumentación</w:t>
      </w:r>
    </w:p>
    <w:p w:rsidR="00000000" w:rsidDel="00000000" w:rsidP="00000000" w:rsidRDefault="00000000" w:rsidRPr="00000000" w14:paraId="000000DC">
      <w:pPr>
        <w:keepNext w:val="1"/>
        <w:pBdr>
          <w:top w:space="0" w:sz="0" w:val="nil"/>
          <w:left w:space="0" w:sz="0" w:val="nil"/>
          <w:bottom w:space="0" w:sz="0" w:val="nil"/>
          <w:right w:space="0" w:sz="0" w:val="nil"/>
          <w:between w:space="0" w:sz="0" w:val="nil"/>
        </w:pBdr>
        <w:spacing w:after="240" w:line="360" w:lineRule="auto"/>
        <w:rPr>
          <w:rFonts w:ascii="Arial" w:cs="Arial" w:eastAsia="Arial" w:hAnsi="Arial"/>
          <w:color w:val="44546a"/>
          <w:sz w:val="18"/>
          <w:szCs w:val="18"/>
        </w:rPr>
      </w:pPr>
      <w:r w:rsidDel="00000000" w:rsidR="00000000" w:rsidRPr="00000000">
        <w:rPr>
          <w:rFonts w:ascii="Arial" w:cs="Arial" w:eastAsia="Arial" w:hAnsi="Arial"/>
          <w:color w:val="44546a"/>
          <w:sz w:val="18"/>
          <w:szCs w:val="18"/>
          <w:rtl w:val="0"/>
        </w:rPr>
        <w:t xml:space="preserve">Tabla 7 / Argumentación</w:t>
      </w:r>
    </w:p>
    <w:tbl>
      <w:tblPr>
        <w:tblStyle w:val="Table7"/>
        <w:tblW w:w="1418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5"/>
        <w:gridCol w:w="2835"/>
        <w:gridCol w:w="2835"/>
        <w:gridCol w:w="2956"/>
        <w:tblGridChange w:id="0">
          <w:tblGrid>
            <w:gridCol w:w="5555"/>
            <w:gridCol w:w="2835"/>
            <w:gridCol w:w="2835"/>
            <w:gridCol w:w="2956"/>
          </w:tblGrid>
        </w:tblGridChange>
      </w:tblGrid>
      <w:tr>
        <w:trPr>
          <w:cantSplit w:val="0"/>
          <w:trHeight w:val="526" w:hRule="atLeast"/>
          <w:tblHeader w:val="0"/>
        </w:trPr>
        <w:tc>
          <w:tcPr/>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0DE">
            <w:pPr>
              <w:spacing w:after="40" w:before="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p w:rsidR="00000000" w:rsidDel="00000000" w:rsidP="00000000" w:rsidRDefault="00000000" w:rsidRPr="00000000" w14:paraId="000000DF">
            <w:pPr>
              <w:spacing w:after="40" w:before="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p w:rsidR="00000000" w:rsidDel="00000000" w:rsidP="00000000" w:rsidRDefault="00000000" w:rsidRPr="00000000" w14:paraId="000000E0">
            <w:pPr>
              <w:spacing w:after="40" w:before="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Construye la noción de conservación de la cantidad, al modificar la forma de los objetos que se encuentran en su entorno inmediato.</w:t>
            </w:r>
          </w:p>
        </w:tc>
        <w:tc>
          <w:tcPr/>
          <w:p w:rsidR="00000000" w:rsidDel="00000000" w:rsidP="00000000" w:rsidRDefault="00000000" w:rsidRPr="00000000" w14:paraId="000000E2">
            <w:pPr>
              <w:spacing w:after="40" w:before="40" w:line="360" w:lineRule="auto"/>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Descubre, del entorno inmediato, objetos a los que se les puede modificar su forma.</w:t>
            </w:r>
            <w:r w:rsidDel="00000000" w:rsidR="00000000" w:rsidRPr="00000000">
              <w:rPr>
                <w:rtl w:val="0"/>
              </w:rPr>
            </w:r>
          </w:p>
        </w:tc>
        <w:tc>
          <w:tcPr/>
          <w:p w:rsidR="00000000" w:rsidDel="00000000" w:rsidP="00000000" w:rsidRDefault="00000000" w:rsidRPr="00000000" w14:paraId="000000E3">
            <w:pPr>
              <w:spacing w:after="40" w:before="40" w:line="360" w:lineRule="auto"/>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Explora modificaciones en la forma de los objetos que se encuentran en su entorno inmediato.</w:t>
            </w:r>
            <w:r w:rsidDel="00000000" w:rsidR="00000000" w:rsidRPr="00000000">
              <w:rPr>
                <w:rtl w:val="0"/>
              </w:rPr>
            </w:r>
          </w:p>
        </w:tc>
        <w:tc>
          <w:tcPr/>
          <w:p w:rsidR="00000000" w:rsidDel="00000000" w:rsidP="00000000" w:rsidRDefault="00000000" w:rsidRPr="00000000" w14:paraId="000000E4">
            <w:pPr>
              <w:spacing w:after="40" w:before="40" w:line="360" w:lineRule="auto"/>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Demuestra la noción de conservación de la cantidad al modificar la forma de los objetos que se encuentran en su entorno inmediato.</w:t>
            </w:r>
            <w:r w:rsidDel="00000000" w:rsidR="00000000" w:rsidRPr="00000000">
              <w:rPr>
                <w:rtl w:val="0"/>
              </w:rPr>
            </w:r>
          </w:p>
        </w:tc>
      </w:tr>
    </w:tbl>
    <w:p w:rsidR="00000000" w:rsidDel="00000000" w:rsidP="00000000" w:rsidRDefault="00000000" w:rsidRPr="00000000" w14:paraId="000000E5">
      <w:pPr>
        <w:rPr>
          <w:rFonts w:ascii="Arial" w:cs="Arial" w:eastAsia="Arial" w:hAnsi="Arial"/>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E6">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Toma de decisiones</w:t>
      </w:r>
    </w:p>
    <w:p w:rsidR="00000000" w:rsidDel="00000000" w:rsidP="00000000" w:rsidRDefault="00000000" w:rsidRPr="00000000" w14:paraId="000000E7">
      <w:pPr>
        <w:keepNext w:val="1"/>
        <w:pBdr>
          <w:top w:space="0" w:sz="0" w:val="nil"/>
          <w:left w:space="0" w:sz="0" w:val="nil"/>
          <w:bottom w:space="0" w:sz="0" w:val="nil"/>
          <w:right w:space="0" w:sz="0" w:val="nil"/>
          <w:between w:space="0" w:sz="0" w:val="nil"/>
        </w:pBdr>
        <w:spacing w:after="240" w:line="360" w:lineRule="auto"/>
        <w:rPr>
          <w:rFonts w:ascii="Arial" w:cs="Arial" w:eastAsia="Arial" w:hAnsi="Arial"/>
          <w:color w:val="44546a"/>
          <w:sz w:val="18"/>
          <w:szCs w:val="18"/>
        </w:rPr>
      </w:pPr>
      <w:r w:rsidDel="00000000" w:rsidR="00000000" w:rsidRPr="00000000">
        <w:rPr>
          <w:rFonts w:ascii="Arial" w:cs="Arial" w:eastAsia="Arial" w:hAnsi="Arial"/>
          <w:color w:val="44546a"/>
          <w:sz w:val="18"/>
          <w:szCs w:val="18"/>
          <w:rtl w:val="0"/>
        </w:rPr>
        <w:t xml:space="preserve">Tabla 8 / Toma de decisiones</w:t>
      </w:r>
    </w:p>
    <w:tbl>
      <w:tblPr>
        <w:tblStyle w:val="Table8"/>
        <w:tblW w:w="140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08"/>
        <w:gridCol w:w="2835"/>
        <w:gridCol w:w="2835"/>
        <w:gridCol w:w="2956"/>
        <w:tblGridChange w:id="0">
          <w:tblGrid>
            <w:gridCol w:w="5408"/>
            <w:gridCol w:w="2835"/>
            <w:gridCol w:w="2835"/>
            <w:gridCol w:w="2956"/>
          </w:tblGrid>
        </w:tblGridChange>
      </w:tblGrid>
      <w:tr>
        <w:trPr>
          <w:cantSplit w:val="0"/>
          <w:trHeight w:val="526" w:hRule="atLeast"/>
          <w:tblHeader w:val="1"/>
        </w:trPr>
        <w:tc>
          <w:tcPr/>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0E9">
            <w:pPr>
              <w:spacing w:after="40" w:before="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p w:rsidR="00000000" w:rsidDel="00000000" w:rsidP="00000000" w:rsidRDefault="00000000" w:rsidRPr="00000000" w14:paraId="000000EA">
            <w:pPr>
              <w:spacing w:after="40" w:before="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p w:rsidR="00000000" w:rsidDel="00000000" w:rsidP="00000000" w:rsidRDefault="00000000" w:rsidRPr="00000000" w14:paraId="000000EB">
            <w:pPr>
              <w:spacing w:after="40" w:before="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Adquiere progresivamente, la noción de conservación de la cantidad de los objetos, para la toma de decisiones</w:t>
            </w:r>
          </w:p>
        </w:tc>
        <w:tc>
          <w:tcPr/>
          <w:p w:rsidR="00000000" w:rsidDel="00000000" w:rsidP="00000000" w:rsidRDefault="00000000" w:rsidRPr="00000000" w14:paraId="000000ED">
            <w:pPr>
              <w:spacing w:after="40" w:before="40" w:line="360" w:lineRule="auto"/>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Menciona con ideas principales, por qué los objetos de su entorno inmediato cambian de forma y conservan la misma cantidad de materia.</w:t>
            </w:r>
            <w:r w:rsidDel="00000000" w:rsidR="00000000" w:rsidRPr="00000000">
              <w:rPr>
                <w:rtl w:val="0"/>
              </w:rPr>
            </w:r>
          </w:p>
        </w:tc>
        <w:tc>
          <w:tcPr/>
          <w:p w:rsidR="00000000" w:rsidDel="00000000" w:rsidP="00000000" w:rsidRDefault="00000000" w:rsidRPr="00000000" w14:paraId="000000EE">
            <w:pPr>
              <w:spacing w:after="40" w:before="40" w:line="360" w:lineRule="auto"/>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Compara, a partir de diversos puntos de vista, los objetos de su entorno inmediato que cambian de forma y conservan la misma cantidad de materia.</w:t>
            </w:r>
            <w:r w:rsidDel="00000000" w:rsidR="00000000" w:rsidRPr="00000000">
              <w:rPr>
                <w:rtl w:val="0"/>
              </w:rPr>
            </w:r>
          </w:p>
        </w:tc>
        <w:tc>
          <w:tcPr/>
          <w:p w:rsidR="00000000" w:rsidDel="00000000" w:rsidP="00000000" w:rsidRDefault="00000000" w:rsidRPr="00000000" w14:paraId="000000EF">
            <w:pPr>
              <w:spacing w:after="40" w:before="40" w:line="360" w:lineRule="auto"/>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Demuestra, a partir de la toma de decisiones, que, aunque los objetos cambian de forma, conservan la misma cantidad de materia.</w:t>
            </w:r>
            <w:r w:rsidDel="00000000" w:rsidR="00000000" w:rsidRPr="00000000">
              <w:rPr>
                <w:rtl w:val="0"/>
              </w:rPr>
            </w:r>
          </w:p>
        </w:tc>
      </w:tr>
    </w:tbl>
    <w:p w:rsidR="00000000" w:rsidDel="00000000" w:rsidP="00000000" w:rsidRDefault="00000000" w:rsidRPr="00000000" w14:paraId="000000F0">
      <w:pPr>
        <w:pStyle w:val="Heading2"/>
        <w:spacing w:after="40" w:before="240" w:line="360" w:lineRule="auto"/>
        <w:rPr>
          <w:rFonts w:ascii="Arial" w:cs="Arial" w:eastAsia="Arial" w:hAnsi="Arial"/>
          <w:b w:val="1"/>
          <w:color w:val="000000"/>
          <w:sz w:val="28"/>
          <w:szCs w:val="28"/>
        </w:rPr>
      </w:pPr>
      <w:r w:rsidDel="00000000" w:rsidR="00000000" w:rsidRPr="00000000">
        <w:rPr>
          <w:rtl w:val="0"/>
        </w:rPr>
      </w:r>
    </w:p>
    <w:p w:rsidR="00000000" w:rsidDel="00000000" w:rsidP="00000000" w:rsidRDefault="00000000" w:rsidRPr="00000000" w14:paraId="000000F1">
      <w:pPr>
        <w:pStyle w:val="Heading2"/>
        <w:spacing w:after="40" w:before="240" w:line="360" w:lineRule="auto"/>
        <w:rPr>
          <w:rFonts w:ascii="Arial" w:cs="Arial" w:eastAsia="Arial" w:hAnsi="Arial"/>
          <w:b w:val="1"/>
          <w:color w:val="000000"/>
          <w:sz w:val="28"/>
          <w:szCs w:val="28"/>
        </w:rPr>
      </w:pPr>
      <w:r w:rsidDel="00000000" w:rsidR="00000000" w:rsidRPr="00000000">
        <w:rPr>
          <w:rtl w:val="0"/>
        </w:rPr>
      </w:r>
    </w:p>
    <w:p w:rsidR="00000000" w:rsidDel="00000000" w:rsidP="00000000" w:rsidRDefault="00000000" w:rsidRPr="00000000" w14:paraId="000000F2">
      <w:pPr>
        <w:pStyle w:val="Heading2"/>
        <w:spacing w:after="40" w:before="240" w:line="360" w:lineRule="auto"/>
        <w:rPr>
          <w:rFonts w:ascii="Arial" w:cs="Arial" w:eastAsia="Arial" w:hAnsi="Arial"/>
          <w:b w:val="1"/>
          <w:color w:val="000000"/>
          <w:sz w:val="28"/>
          <w:szCs w:val="28"/>
        </w:rPr>
      </w:pPr>
      <w:bookmarkStart w:colFirst="0" w:colLast="0" w:name="_heading=h.2bn6wsx" w:id="14"/>
      <w:bookmarkEnd w:id="14"/>
      <w:r w:rsidDel="00000000" w:rsidR="00000000" w:rsidRPr="00000000">
        <w:rPr>
          <w:rFonts w:ascii="Arial" w:cs="Arial" w:eastAsia="Arial" w:hAnsi="Arial"/>
          <w:b w:val="1"/>
          <w:color w:val="000000"/>
          <w:sz w:val="28"/>
          <w:szCs w:val="28"/>
          <w:rtl w:val="0"/>
        </w:rPr>
        <w:t xml:space="preserve">Sección IV. Organización del tiempo.</w:t>
      </w:r>
    </w:p>
    <w:p w:rsidR="00000000" w:rsidDel="00000000" w:rsidP="00000000" w:rsidRDefault="00000000" w:rsidRPr="00000000" w14:paraId="000000F3">
      <w:pPr>
        <w:spacing w:after="240" w:line="360" w:lineRule="auto"/>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4">
      <w:pPr>
        <w:pStyle w:val="Heading2"/>
        <w:spacing w:after="40" w:before="240" w:line="360" w:lineRule="auto"/>
        <w:rPr>
          <w:rFonts w:ascii="Arial" w:cs="Arial" w:eastAsia="Arial" w:hAnsi="Arial"/>
          <w:b w:val="1"/>
          <w:color w:val="000000"/>
          <w:sz w:val="28"/>
          <w:szCs w:val="28"/>
        </w:rPr>
      </w:pPr>
      <w:bookmarkStart w:colFirst="0" w:colLast="0" w:name="_heading=h.qsh70q" w:id="15"/>
      <w:bookmarkEnd w:id="15"/>
      <w:r w:rsidDel="00000000" w:rsidR="00000000" w:rsidRPr="00000000">
        <w:rPr>
          <w:rFonts w:ascii="Arial" w:cs="Arial" w:eastAsia="Arial" w:hAnsi="Arial"/>
          <w:b w:val="1"/>
          <w:color w:val="000000"/>
          <w:sz w:val="28"/>
          <w:szCs w:val="28"/>
          <w:rtl w:val="0"/>
        </w:rPr>
        <w:t xml:space="preserve">Sección V. Anexos </w:t>
      </w:r>
    </w:p>
    <w:p w:rsidR="00000000" w:rsidDel="00000000" w:rsidP="00000000" w:rsidRDefault="00000000" w:rsidRPr="00000000" w14:paraId="000000F5">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Podrá encontrar los anexos que se nombran a continuación en el documento “Conservación de la Cantidad: Recursos Pedagógicos”. Estos anexos son descripciones detalladas de algunas de las estrategias de mediación sugeridas en este planeamiento didáctico. Le invitamos a revisar estos </w:t>
      </w:r>
      <w:r w:rsidDel="00000000" w:rsidR="00000000" w:rsidRPr="00000000">
        <w:rPr>
          <w:rFonts w:ascii="Arial" w:cs="Arial" w:eastAsia="Arial" w:hAnsi="Arial"/>
          <w:color w:val="000000"/>
          <w:sz w:val="24"/>
          <w:szCs w:val="24"/>
          <w:rtl w:val="0"/>
        </w:rPr>
        <w:t xml:space="preserve">recursos, adaptarlos </w:t>
      </w:r>
      <w:r w:rsidDel="00000000" w:rsidR="00000000" w:rsidRPr="00000000">
        <w:rPr>
          <w:rFonts w:ascii="Arial" w:cs="Arial" w:eastAsia="Arial" w:hAnsi="Arial"/>
          <w:sz w:val="24"/>
          <w:szCs w:val="24"/>
          <w:rtl w:val="0"/>
        </w:rPr>
        <w:t xml:space="preserve">según el contexto y características del grupo de niñas y niños que está acompañando.</w:t>
      </w:r>
    </w:p>
    <w:p w:rsidR="00000000" w:rsidDel="00000000" w:rsidP="00000000" w:rsidRDefault="00000000" w:rsidRPr="00000000" w14:paraId="000000F6">
      <w:pPr>
        <w:keepNext w:val="1"/>
        <w:pBdr>
          <w:top w:space="0" w:sz="0" w:val="nil"/>
          <w:left w:space="0" w:sz="0" w:val="nil"/>
          <w:bottom w:space="0" w:sz="0" w:val="nil"/>
          <w:right w:space="0" w:sz="0" w:val="nil"/>
          <w:between w:space="0" w:sz="0" w:val="nil"/>
        </w:pBdr>
        <w:spacing w:after="240" w:line="360" w:lineRule="auto"/>
        <w:rPr>
          <w:rFonts w:ascii="Arial" w:cs="Arial" w:eastAsia="Arial" w:hAnsi="Arial"/>
          <w:color w:val="44546a"/>
          <w:sz w:val="18"/>
          <w:szCs w:val="18"/>
        </w:rPr>
      </w:pPr>
      <w:r w:rsidDel="00000000" w:rsidR="00000000" w:rsidRPr="00000000">
        <w:rPr>
          <w:rFonts w:ascii="Arial" w:cs="Arial" w:eastAsia="Arial" w:hAnsi="Arial"/>
          <w:color w:val="44546a"/>
          <w:sz w:val="18"/>
          <w:szCs w:val="18"/>
          <w:rtl w:val="0"/>
        </w:rPr>
        <w:t xml:space="preserve">Tabla 9/ Anexos para el aprendizaje esperado “Conservación de la Cantidad”</w:t>
      </w:r>
    </w:p>
    <w:tbl>
      <w:tblPr>
        <w:tblStyle w:val="Table9"/>
        <w:tblW w:w="1048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56"/>
        <w:gridCol w:w="7229"/>
        <w:tblGridChange w:id="0">
          <w:tblGrid>
            <w:gridCol w:w="3256"/>
            <w:gridCol w:w="7229"/>
          </w:tblGrid>
        </w:tblGridChange>
      </w:tblGrid>
      <w:tr>
        <w:trPr>
          <w:cantSplit w:val="0"/>
          <w:tblHeader w:val="1"/>
        </w:trPr>
        <w:tc>
          <w:tcPr>
            <w:vAlign w:val="center"/>
          </w:tcPr>
          <w:p w:rsidR="00000000" w:rsidDel="00000000" w:rsidP="00000000" w:rsidRDefault="00000000" w:rsidRPr="00000000" w14:paraId="000000F7">
            <w:pPr>
              <w:spacing w:after="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Indicador de aprendizaje</w:t>
            </w:r>
          </w:p>
        </w:tc>
        <w:tc>
          <w:tcPr>
            <w:vAlign w:val="center"/>
          </w:tcPr>
          <w:p w:rsidR="00000000" w:rsidDel="00000000" w:rsidP="00000000" w:rsidRDefault="00000000" w:rsidRPr="00000000" w14:paraId="000000F8">
            <w:pPr>
              <w:spacing w:after="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Anexo</w:t>
            </w:r>
          </w:p>
        </w:tc>
      </w:tr>
      <w:tr>
        <w:trPr>
          <w:cantSplit w:val="0"/>
          <w:tblHeader w:val="0"/>
        </w:trPr>
        <w:tc>
          <w:tcPr>
            <w:vAlign w:val="center"/>
          </w:tcPr>
          <w:p w:rsidR="00000000" w:rsidDel="00000000" w:rsidP="00000000" w:rsidRDefault="00000000" w:rsidRPr="00000000" w14:paraId="000000F9">
            <w:pPr>
              <w:spacing w:after="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1</w:t>
            </w:r>
            <w:r w:rsidDel="00000000" w:rsidR="00000000" w:rsidRPr="00000000">
              <w:rPr>
                <w:rtl w:val="0"/>
              </w:rPr>
            </w:r>
          </w:p>
        </w:tc>
        <w:tc>
          <w:tcPr>
            <w:vAlign w:val="center"/>
          </w:tcPr>
          <w:p w:rsidR="00000000" w:rsidDel="00000000" w:rsidP="00000000" w:rsidRDefault="00000000" w:rsidRPr="00000000" w14:paraId="000000FA">
            <w:pPr>
              <w:spacing w:after="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1. Más que números</w:t>
            </w:r>
          </w:p>
        </w:tc>
      </w:tr>
      <w:tr>
        <w:trPr>
          <w:cantSplit w:val="0"/>
          <w:tblHeader w:val="0"/>
        </w:trPr>
        <w:tc>
          <w:tcPr>
            <w:vAlign w:val="center"/>
          </w:tcPr>
          <w:p w:rsidR="00000000" w:rsidDel="00000000" w:rsidP="00000000" w:rsidRDefault="00000000" w:rsidRPr="00000000" w14:paraId="000000FB">
            <w:pPr>
              <w:spacing w:after="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2</w:t>
            </w:r>
            <w:r w:rsidDel="00000000" w:rsidR="00000000" w:rsidRPr="00000000">
              <w:rPr>
                <w:rtl w:val="0"/>
              </w:rPr>
            </w:r>
          </w:p>
        </w:tc>
        <w:tc>
          <w:tcPr>
            <w:vAlign w:val="center"/>
          </w:tcPr>
          <w:p w:rsidR="00000000" w:rsidDel="00000000" w:rsidP="00000000" w:rsidRDefault="00000000" w:rsidRPr="00000000" w14:paraId="000000FC">
            <w:pPr>
              <w:spacing w:after="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2. Matemáticas en todas partes</w:t>
            </w:r>
          </w:p>
        </w:tc>
      </w:tr>
      <w:tr>
        <w:trPr>
          <w:cantSplit w:val="0"/>
          <w:tblHeader w:val="0"/>
        </w:trPr>
        <w:tc>
          <w:tcPr>
            <w:vAlign w:val="center"/>
          </w:tcPr>
          <w:p w:rsidR="00000000" w:rsidDel="00000000" w:rsidP="00000000" w:rsidRDefault="00000000" w:rsidRPr="00000000" w14:paraId="000000FD">
            <w:pPr>
              <w:spacing w:after="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3</w:t>
            </w:r>
            <w:r w:rsidDel="00000000" w:rsidR="00000000" w:rsidRPr="00000000">
              <w:rPr>
                <w:rtl w:val="0"/>
              </w:rPr>
            </w:r>
          </w:p>
        </w:tc>
        <w:tc>
          <w:tcPr>
            <w:vAlign w:val="center"/>
          </w:tcPr>
          <w:p w:rsidR="00000000" w:rsidDel="00000000" w:rsidP="00000000" w:rsidRDefault="00000000" w:rsidRPr="00000000" w14:paraId="000000FE">
            <w:pPr>
              <w:spacing w:after="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3. Ayudemos a Corina</w:t>
            </w:r>
          </w:p>
        </w:tc>
      </w:tr>
    </w:tbl>
    <w:p w:rsidR="00000000" w:rsidDel="00000000" w:rsidP="00000000" w:rsidRDefault="00000000" w:rsidRPr="00000000" w14:paraId="000000FF">
      <w:pPr>
        <w:spacing w:after="240" w:line="360" w:lineRule="auto"/>
        <w:rPr>
          <w:rFonts w:ascii="Arial" w:cs="Arial" w:eastAsia="Arial" w:hAnsi="Arial"/>
          <w:b w:val="1"/>
          <w:sz w:val="24"/>
          <w:szCs w:val="24"/>
        </w:rPr>
      </w:pPr>
      <w:bookmarkStart w:colFirst="0" w:colLast="0" w:name="_heading=h.44sinio" w:id="16"/>
      <w:bookmarkEnd w:id="16"/>
      <w:r w:rsidDel="00000000" w:rsidR="00000000" w:rsidRPr="00000000">
        <w:br w:type="page"/>
      </w:r>
      <w:r w:rsidDel="00000000" w:rsidR="00000000" w:rsidRPr="00000000">
        <w:rPr>
          <w:rtl w:val="0"/>
        </w:rPr>
      </w:r>
    </w:p>
    <w:p w:rsidR="00000000" w:rsidDel="00000000" w:rsidP="00000000" w:rsidRDefault="00000000" w:rsidRPr="00000000" w14:paraId="00000100">
      <w:pPr>
        <w:pStyle w:val="Heading1"/>
        <w:ind w:left="360" w:hanging="360"/>
        <w:rPr/>
      </w:pPr>
      <w:bookmarkStart w:colFirst="0" w:colLast="0" w:name="_heading=h.2jxsxqh" w:id="17"/>
      <w:bookmarkEnd w:id="17"/>
      <w:r w:rsidDel="00000000" w:rsidR="00000000" w:rsidRPr="00000000">
        <w:rPr>
          <w:rtl w:val="0"/>
        </w:rPr>
        <w:t xml:space="preserve">Referencias </w:t>
      </w:r>
    </w:p>
    <w:p w:rsidR="00000000" w:rsidDel="00000000" w:rsidP="00000000" w:rsidRDefault="00000000" w:rsidRPr="00000000" w14:paraId="00000101">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Alianza Empresarial para el Desarrollo, Fundación PANIAMOR, Procter &amp; Gamble y Ministerio de Salud/Dirección Nacional CEN–CINAI. (2016). Modelo de Formación Parental Somos Familia. Marco Referencial. San José, Costa Rica.</w:t>
      </w:r>
    </w:p>
    <w:p w:rsidR="00000000" w:rsidDel="00000000" w:rsidP="00000000" w:rsidRDefault="00000000" w:rsidRPr="00000000" w14:paraId="00000102">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Dehaene, S. (2016). El cerebro matemático: Cómo nacen, viven y a veces mueren los números en nuestra mente. Siglo Veintiuno Editores.</w:t>
      </w:r>
    </w:p>
    <w:p w:rsidR="00000000" w:rsidDel="00000000" w:rsidP="00000000" w:rsidRDefault="00000000" w:rsidRPr="00000000" w14:paraId="00000103">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Forés, A., Gamo, J., Guillén, J., Hernández, T., Ligioiz, M., Pardo, F., &amp; Trinidad, C. (2015). Neuromitos en Educación: El aprendizaje desde la neurociencia. Plataforma Editorial.</w:t>
      </w:r>
    </w:p>
    <w:p w:rsidR="00000000" w:rsidDel="00000000" w:rsidP="00000000" w:rsidRDefault="00000000" w:rsidRPr="00000000" w14:paraId="00000104">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(2014). Niñez ciudadana. Marco Referencial. San José, Costa Rica.</w:t>
      </w:r>
    </w:p>
    <w:p w:rsidR="00000000" w:rsidDel="00000000" w:rsidP="00000000" w:rsidRDefault="00000000" w:rsidRPr="00000000" w14:paraId="00000105">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González, M. &amp; Sáenz, N. (2019). Conceptos Temáticos de Primera Infancia: Documento de Uso interno. Fundación Paniamor.</w:t>
      </w:r>
    </w:p>
    <w:p w:rsidR="00000000" w:rsidDel="00000000" w:rsidP="00000000" w:rsidRDefault="00000000" w:rsidRPr="00000000" w14:paraId="00000106">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Ministerio de Educación Pública. (2014). Programa de estudio de educación preescolar. San José, Costa Rica.</w:t>
      </w:r>
    </w:p>
    <w:p w:rsidR="00000000" w:rsidDel="00000000" w:rsidP="00000000" w:rsidRDefault="00000000" w:rsidRPr="00000000" w14:paraId="00000107">
      <w:pPr>
        <w:spacing w:after="384" w:line="360" w:lineRule="auto"/>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8">
      <w:pPr>
        <w:pStyle w:val="Heading1"/>
        <w:ind w:left="360" w:hanging="360"/>
        <w:rPr/>
      </w:pPr>
      <w:bookmarkStart w:colFirst="0" w:colLast="0" w:name="_heading=h.z337ya" w:id="18"/>
      <w:bookmarkEnd w:id="18"/>
      <w:r w:rsidDel="00000000" w:rsidR="00000000" w:rsidRPr="00000000">
        <w:rPr>
          <w:rtl w:val="0"/>
        </w:rPr>
        <w:t xml:space="preserve">Créditos</w:t>
      </w:r>
    </w:p>
    <w:p w:rsidR="00000000" w:rsidDel="00000000" w:rsidP="00000000" w:rsidRDefault="00000000" w:rsidRPr="00000000" w14:paraId="00000109">
      <w:pPr>
        <w:spacing w:after="384"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Dirección de Desarrollo Curricular </w:t>
      </w:r>
      <w:r w:rsidDel="00000000" w:rsidR="00000000" w:rsidRPr="00000000">
        <w:rPr>
          <w:rtl w:val="0"/>
        </w:rPr>
      </w:r>
    </w:p>
    <w:p w:rsidR="00000000" w:rsidDel="00000000" w:rsidP="00000000" w:rsidRDefault="00000000" w:rsidRPr="00000000" w14:paraId="0000010A">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Yorleny Porras Calvo. Directora.</w:t>
      </w:r>
    </w:p>
    <w:p w:rsidR="00000000" w:rsidDel="00000000" w:rsidP="00000000" w:rsidRDefault="00000000" w:rsidRPr="00000000" w14:paraId="0000010B">
      <w:pPr>
        <w:spacing w:after="384" w:line="360" w:lineRule="auto"/>
        <w:rPr>
          <w:rFonts w:ascii="Arial" w:cs="Arial" w:eastAsia="Arial" w:hAnsi="Arial"/>
          <w:color w:val="000000"/>
          <w:sz w:val="24"/>
          <w:szCs w:val="24"/>
          <w:u w:val="single"/>
        </w:rPr>
      </w:pPr>
      <w:r w:rsidDel="00000000" w:rsidR="00000000" w:rsidRPr="00000000">
        <w:rPr>
          <w:rFonts w:ascii="Arial" w:cs="Arial" w:eastAsia="Arial" w:hAnsi="Arial"/>
          <w:color w:val="000000"/>
          <w:sz w:val="24"/>
          <w:szCs w:val="24"/>
          <w:u w:val="single"/>
          <w:rtl w:val="0"/>
        </w:rPr>
        <w:t xml:space="preserve">Departamento de Educación de la Primera Infancia</w:t>
      </w:r>
    </w:p>
    <w:p w:rsidR="00000000" w:rsidDel="00000000" w:rsidP="00000000" w:rsidRDefault="00000000" w:rsidRPr="00000000" w14:paraId="0000010C">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Guisselle Alpízar Elizondo. Jefatura.</w:t>
      </w:r>
    </w:p>
    <w:p w:rsidR="00000000" w:rsidDel="00000000" w:rsidP="00000000" w:rsidRDefault="00000000" w:rsidRPr="00000000" w14:paraId="0000010D">
      <w:pPr>
        <w:spacing w:after="384"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Comisión encargada de la redacción</w:t>
      </w:r>
      <w:r w:rsidDel="00000000" w:rsidR="00000000" w:rsidRPr="00000000">
        <w:rPr>
          <w:rtl w:val="0"/>
        </w:rPr>
      </w:r>
    </w:p>
    <w:p w:rsidR="00000000" w:rsidDel="00000000" w:rsidP="00000000" w:rsidRDefault="00000000" w:rsidRPr="00000000" w14:paraId="0000010E">
      <w:pPr>
        <w:spacing w:after="384" w:line="360" w:lineRule="auto"/>
        <w:rPr>
          <w:rFonts w:ascii="Arial" w:cs="Arial" w:eastAsia="Arial" w:hAnsi="Arial"/>
          <w:color w:val="000000"/>
          <w:sz w:val="24"/>
          <w:szCs w:val="24"/>
        </w:rPr>
      </w:pPr>
      <w:r w:rsidDel="00000000" w:rsidR="00000000" w:rsidRPr="00000000">
        <w:rPr>
          <w:rFonts w:ascii="Arial" w:cs="Arial" w:eastAsia="Arial" w:hAnsi="Arial"/>
          <w:sz w:val="24"/>
          <w:szCs w:val="24"/>
          <w:u w:val="single"/>
          <w:rtl w:val="0"/>
        </w:rPr>
        <w:t xml:space="preserve">Por parte del Departamento de Educación de la Primera Infancia, MEP</w:t>
      </w:r>
      <w:r w:rsidDel="00000000" w:rsidR="00000000" w:rsidRPr="00000000">
        <w:rPr>
          <w:rFonts w:ascii="Arial" w:cs="Arial" w:eastAsia="Arial" w:hAnsi="Arial"/>
          <w:color w:val="000000"/>
          <w:sz w:val="24"/>
          <w:szCs w:val="24"/>
          <w:rtl w:val="0"/>
        </w:rPr>
        <w:t xml:space="preserve">.</w:t>
      </w:r>
    </w:p>
    <w:p w:rsidR="00000000" w:rsidDel="00000000" w:rsidP="00000000" w:rsidRDefault="00000000" w:rsidRPr="00000000" w14:paraId="0000010F">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Johanna Coto Jiménez. Asesora nacional de Educación Preescolar.</w:t>
      </w:r>
    </w:p>
    <w:p w:rsidR="00000000" w:rsidDel="00000000" w:rsidP="00000000" w:rsidRDefault="00000000" w:rsidRPr="00000000" w14:paraId="00000110">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Adriana Díaz Madriz. Asesora nacional de Educación Preescolar.</w:t>
      </w:r>
    </w:p>
    <w:p w:rsidR="00000000" w:rsidDel="00000000" w:rsidP="00000000" w:rsidRDefault="00000000" w:rsidRPr="00000000" w14:paraId="00000111">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Gabriela Gamboa Naranjo. Asesora nacional de Educación Preescolar</w:t>
      </w:r>
    </w:p>
    <w:p w:rsidR="00000000" w:rsidDel="00000000" w:rsidP="00000000" w:rsidRDefault="00000000" w:rsidRPr="00000000" w14:paraId="00000112">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María Antonieta Hernández Gutiérrez. Asesora nacional de Educación Preescolar</w:t>
      </w:r>
    </w:p>
    <w:p w:rsidR="00000000" w:rsidDel="00000000" w:rsidP="00000000" w:rsidRDefault="00000000" w:rsidRPr="00000000" w14:paraId="00000113">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Carolina López Castillo. Asesora nacional de Educación Preescolar.</w:t>
      </w:r>
    </w:p>
    <w:p w:rsidR="00000000" w:rsidDel="00000000" w:rsidP="00000000" w:rsidRDefault="00000000" w:rsidRPr="00000000" w14:paraId="00000114">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Elizabeth Madrigal López. Asesora nacional de Educación Preescolar.</w:t>
      </w:r>
    </w:p>
    <w:p w:rsidR="00000000" w:rsidDel="00000000" w:rsidP="00000000" w:rsidRDefault="00000000" w:rsidRPr="00000000" w14:paraId="00000115">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Ofelia Montoya García. Asesora nacional de Educación Preescolar.</w:t>
      </w:r>
    </w:p>
    <w:p w:rsidR="00000000" w:rsidDel="00000000" w:rsidP="00000000" w:rsidRDefault="00000000" w:rsidRPr="00000000" w14:paraId="00000116">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Olga Mayra Zárate Cuadra. Asesora nacional de Educación Preescolar.</w:t>
      </w:r>
    </w:p>
    <w:p w:rsidR="00000000" w:rsidDel="00000000" w:rsidP="00000000" w:rsidRDefault="00000000" w:rsidRPr="00000000" w14:paraId="00000117">
      <w:pPr>
        <w:spacing w:after="384"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18">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Metodológico y Pedagógico: </w:t>
      </w:r>
    </w:p>
    <w:p w:rsidR="00000000" w:rsidDel="00000000" w:rsidP="00000000" w:rsidRDefault="00000000" w:rsidRPr="00000000" w14:paraId="00000119">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Marcela González, Coto. Directora Programa “Niñez Ciudadana”.</w:t>
      </w:r>
    </w:p>
    <w:p w:rsidR="00000000" w:rsidDel="00000000" w:rsidP="00000000" w:rsidRDefault="00000000" w:rsidRPr="00000000" w14:paraId="0000011A">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Pedagógico:</w:t>
      </w:r>
    </w:p>
    <w:p w:rsidR="00000000" w:rsidDel="00000000" w:rsidP="00000000" w:rsidRDefault="00000000" w:rsidRPr="00000000" w14:paraId="0000011B">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Nayuribe Sáenz Cubillo. Especialista temática en primera infancia.</w:t>
      </w:r>
    </w:p>
    <w:p w:rsidR="00000000" w:rsidDel="00000000" w:rsidP="00000000" w:rsidRDefault="00000000" w:rsidRPr="00000000" w14:paraId="0000011C">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Diagramación y Diseño Gráfico:</w:t>
      </w:r>
    </w:p>
    <w:p w:rsidR="00000000" w:rsidDel="00000000" w:rsidP="00000000" w:rsidRDefault="00000000" w:rsidRPr="00000000" w14:paraId="0000011D">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Minor Loaiza Vargas. Diseñador gráfico y diagramador.</w:t>
      </w:r>
    </w:p>
    <w:p w:rsidR="00000000" w:rsidDel="00000000" w:rsidP="00000000" w:rsidRDefault="00000000" w:rsidRPr="00000000" w14:paraId="0000011E">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Handerson Bolívar Restrepo. Diseñador gráfico consultor.</w:t>
      </w:r>
    </w:p>
    <w:p w:rsidR="00000000" w:rsidDel="00000000" w:rsidP="00000000" w:rsidRDefault="00000000" w:rsidRPr="00000000" w14:paraId="0000011F">
      <w:pPr>
        <w:spacing w:after="384"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Comisión encargada de revisión técnico curricular</w:t>
      </w:r>
      <w:r w:rsidDel="00000000" w:rsidR="00000000" w:rsidRPr="00000000">
        <w:rPr>
          <w:rtl w:val="0"/>
        </w:rPr>
      </w:r>
    </w:p>
    <w:p w:rsidR="00000000" w:rsidDel="00000000" w:rsidP="00000000" w:rsidRDefault="00000000" w:rsidRPr="00000000" w14:paraId="00000120">
      <w:pPr>
        <w:spacing w:after="384"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21">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Guisselle Alpízar Elizondo. Jefatura.</w:t>
      </w:r>
    </w:p>
    <w:p w:rsidR="00000000" w:rsidDel="00000000" w:rsidP="00000000" w:rsidRDefault="00000000" w:rsidRPr="00000000" w14:paraId="00000122">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Johanna Coto Jiménez. Asesora nacional de Educación Preescolar.</w:t>
      </w:r>
    </w:p>
    <w:p w:rsidR="00000000" w:rsidDel="00000000" w:rsidP="00000000" w:rsidRDefault="00000000" w:rsidRPr="00000000" w14:paraId="00000123">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Gabriela Gamboa Naranjo. Asesora nacional de Educación Preescolar.</w:t>
      </w:r>
    </w:p>
    <w:p w:rsidR="00000000" w:rsidDel="00000000" w:rsidP="00000000" w:rsidRDefault="00000000" w:rsidRPr="00000000" w14:paraId="00000124">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María Antonieta Hernández Gutiérrez. Asesora nacional de Educación Preescolar</w:t>
      </w:r>
    </w:p>
    <w:p w:rsidR="00000000" w:rsidDel="00000000" w:rsidP="00000000" w:rsidRDefault="00000000" w:rsidRPr="00000000" w14:paraId="00000125">
      <w:pPr>
        <w:spacing w:after="384"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26">
      <w:pPr>
        <w:spacing w:after="384"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Marcela González, Coto. Directora Programa “Niñez Ciudadana”.</w:t>
      </w:r>
    </w:p>
    <w:p w:rsidR="00000000" w:rsidDel="00000000" w:rsidP="00000000" w:rsidRDefault="00000000" w:rsidRPr="00000000" w14:paraId="00000127">
      <w:pPr>
        <w:spacing w:after="384"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Agradecimiento </w:t>
      </w:r>
      <w:r w:rsidDel="00000000" w:rsidR="00000000" w:rsidRPr="00000000">
        <w:rPr>
          <w:rtl w:val="0"/>
        </w:rPr>
      </w:r>
    </w:p>
    <w:p w:rsidR="00000000" w:rsidDel="00000000" w:rsidP="00000000" w:rsidRDefault="00000000" w:rsidRPr="00000000" w14:paraId="00000128">
      <w:pPr>
        <w:spacing w:after="384"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 las Asesorías Regionales y el personal docente de las Direcciones Regionales de Educación de diferentes zonas del país, por la lectura atenta y revisión del presente documento.</w:t>
      </w:r>
    </w:p>
    <w:sectPr>
      <w:footerReference r:id="rId19" w:type="default"/>
      <w:pgSz w:h="12240" w:w="15840" w:orient="landscape"/>
      <w:pgMar w:bottom="1701" w:top="1135" w:left="1418" w:right="1418" w:header="709" w:footer="709"/>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Georgia"/>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righ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2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-900429</wp:posOffset>
          </wp:positionH>
          <wp:positionV relativeFrom="paragraph">
            <wp:posOffset>175260</wp:posOffset>
          </wp:positionV>
          <wp:extent cx="10039985" cy="462915"/>
          <wp:effectExtent b="0" l="0" r="0" t="0"/>
          <wp:wrapSquare wrapText="bothSides" distB="0" distT="0" distL="114300" distR="114300"/>
          <wp:docPr descr="C:\Users\primerainfancia2\Downloads\PORTADA Boceto para guias#2-01-01-01 (1).png" id="1349615189" name="image2.png"/>
          <a:graphic>
            <a:graphicData uri="http://schemas.openxmlformats.org/drawingml/2006/picture">
              <pic:pic>
                <pic:nvPicPr>
                  <pic:cNvPr descr="C:\Users\primerainfancia2\Downloads\PORTADA Boceto para guias#2-01-01-01 (1).png" id="0" name="image2.png"/>
                  <pic:cNvPicPr preferRelativeResize="0"/>
                </pic:nvPicPr>
                <pic:blipFill>
                  <a:blip r:embed="rId1"/>
                  <a:srcRect b="0" l="0" r="0" t="94019"/>
                  <a:stretch>
                    <a:fillRect/>
                  </a:stretch>
                </pic:blipFill>
                <pic:spPr>
                  <a:xfrm>
                    <a:off x="0" y="0"/>
                    <a:ext cx="10039985" cy="462915"/>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upp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240" w:line="360" w:lineRule="auto"/>
      <w:ind w:left="360" w:hanging="360"/>
    </w:pPr>
    <w:rPr>
      <w:rFonts w:ascii="Arial" w:cs="Arial" w:eastAsia="Arial" w:hAnsi="Arial"/>
      <w:b w:val="1"/>
      <w:sz w:val="28"/>
      <w:szCs w:val="28"/>
    </w:rPr>
  </w:style>
  <w:style w:type="paragraph" w:styleId="Heading2">
    <w:name w:val="heading 2"/>
    <w:basedOn w:val="Normal"/>
    <w:next w:val="Normal"/>
    <w:pPr>
      <w:keepNext w:val="1"/>
      <w:keepLines w:val="1"/>
      <w:spacing w:after="0" w:before="40" w:lineRule="auto"/>
    </w:pPr>
    <w:rPr>
      <w:rFonts w:ascii="Calibri" w:cs="Calibri" w:eastAsia="Calibri" w:hAnsi="Calibri"/>
      <w:color w:val="2e75b5"/>
      <w:sz w:val="26"/>
      <w:szCs w:val="26"/>
    </w:rPr>
  </w:style>
  <w:style w:type="paragraph" w:styleId="Heading3">
    <w:name w:val="heading 3"/>
    <w:basedOn w:val="Normal"/>
    <w:next w:val="Normal"/>
    <w:pPr>
      <w:keepNext w:val="1"/>
      <w:keepLines w:val="1"/>
      <w:spacing w:after="0" w:before="40" w:lineRule="auto"/>
    </w:pPr>
    <w:rPr>
      <w:rFonts w:ascii="Calibri" w:cs="Calibri" w:eastAsia="Calibri" w:hAnsi="Calibri"/>
      <w:color w:val="1e4d78"/>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3F5CA3"/>
  </w:style>
  <w:style w:type="paragraph" w:styleId="Heading1">
    <w:name w:val="heading 1"/>
    <w:basedOn w:val="Normal"/>
    <w:next w:val="Normal"/>
    <w:link w:val="Heading1Char"/>
    <w:uiPriority w:val="9"/>
    <w:qFormat w:val="1"/>
    <w:rsid w:val="00E35C31"/>
    <w:pPr>
      <w:keepNext w:val="1"/>
      <w:keepLines w:val="1"/>
      <w:numPr>
        <w:numId w:val="6"/>
      </w:numPr>
      <w:pBdr>
        <w:top w:space="0" w:sz="0" w:val="nil"/>
        <w:left w:space="0" w:sz="0" w:val="nil"/>
        <w:bottom w:space="0" w:sz="0" w:val="nil"/>
        <w:right w:space="0" w:sz="0" w:val="nil"/>
        <w:between w:space="0" w:sz="0" w:val="nil"/>
      </w:pBdr>
      <w:spacing w:after="240" w:line="360" w:lineRule="auto"/>
      <w:outlineLvl w:val="0"/>
    </w:pPr>
    <w:rPr>
      <w:rFonts w:ascii="Arial" w:cs="Arial" w:hAnsi="Arial"/>
      <w:b w:val="1"/>
      <w:sz w:val="28"/>
      <w:szCs w:val="28"/>
    </w:rPr>
  </w:style>
  <w:style w:type="paragraph" w:styleId="Heading2">
    <w:name w:val="heading 2"/>
    <w:basedOn w:val="Normal"/>
    <w:next w:val="Normal"/>
    <w:link w:val="Heading2Char"/>
    <w:uiPriority w:val="9"/>
    <w:unhideWhenUsed w:val="1"/>
    <w:qFormat w:val="1"/>
    <w:rsid w:val="003731CE"/>
    <w:pPr>
      <w:keepNext w:val="1"/>
      <w:keepLines w:val="1"/>
      <w:spacing w:after="0" w:before="40"/>
      <w:outlineLvl w:val="1"/>
    </w:pPr>
    <w:rPr>
      <w:rFonts w:asciiTheme="majorHAnsi" w:cstheme="majorBidi" w:eastAsiaTheme="majorEastAsia" w:hAnsiTheme="majorHAnsi"/>
      <w:color w:val="2e74b5" w:themeColor="accent1" w:themeShade="0000BF"/>
      <w:sz w:val="26"/>
      <w:szCs w:val="26"/>
    </w:rPr>
  </w:style>
  <w:style w:type="paragraph" w:styleId="Heading3">
    <w:name w:val="heading 3"/>
    <w:basedOn w:val="Normal"/>
    <w:next w:val="Normal"/>
    <w:link w:val="Heading3Char"/>
    <w:uiPriority w:val="9"/>
    <w:unhideWhenUsed w:val="1"/>
    <w:qFormat w:val="1"/>
    <w:rsid w:val="00676F84"/>
    <w:pPr>
      <w:keepNext w:val="1"/>
      <w:keepLines w:val="1"/>
      <w:spacing w:after="0" w:before="40"/>
      <w:outlineLvl w:val="2"/>
    </w:pPr>
    <w:rPr>
      <w:rFonts w:asciiTheme="majorHAnsi" w:cstheme="majorBidi" w:eastAsiaTheme="majorEastAsia" w:hAnsiTheme="majorHAnsi"/>
      <w:color w:val="1f4d78" w:themeColor="accent1" w:themeShade="00007F"/>
      <w:sz w:val="24"/>
      <w:szCs w:val="24"/>
    </w:rPr>
  </w:style>
  <w:style w:type="paragraph" w:styleId="Heading4">
    <w:name w:val="heading 4"/>
    <w:basedOn w:val="Normal"/>
    <w:next w:val="Normal"/>
    <w:pPr>
      <w:keepNext w:val="1"/>
      <w:keepLines w:val="1"/>
      <w:spacing w:after="40" w:before="240"/>
      <w:outlineLvl w:val="3"/>
    </w:pPr>
    <w:rPr>
      <w:b w:val="1"/>
      <w:sz w:val="24"/>
      <w:szCs w:val="24"/>
    </w:rPr>
  </w:style>
  <w:style w:type="paragraph" w:styleId="Heading5">
    <w:name w:val="heading 5"/>
    <w:basedOn w:val="Normal"/>
    <w:next w:val="Normal"/>
    <w:pPr>
      <w:keepNext w:val="1"/>
      <w:keepLines w:val="1"/>
      <w:spacing w:after="40" w:before="220"/>
      <w:outlineLvl w:val="4"/>
    </w:pPr>
    <w:rPr>
      <w:b w:val="1"/>
    </w:rPr>
  </w:style>
  <w:style w:type="paragraph" w:styleId="Heading6">
    <w:name w:val="heading 6"/>
    <w:basedOn w:val="Normal"/>
    <w:next w:val="Normal"/>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NormalTable0" w:customStyle="1">
    <w:name w:val="Normal Table0"/>
    <w:tblPr>
      <w:tblCellMar>
        <w:top w:w="0.0" w:type="dxa"/>
        <w:left w:w="0.0" w:type="dxa"/>
        <w:bottom w:w="0.0" w:type="dxa"/>
        <w:right w:w="0.0" w:type="dxa"/>
      </w:tblCellMar>
    </w:tblPr>
  </w:style>
  <w:style w:type="paragraph" w:styleId="Title">
    <w:name w:val="Title"/>
    <w:basedOn w:val="Normal"/>
    <w:next w:val="Normal"/>
    <w:pPr>
      <w:keepNext w:val="1"/>
      <w:keepLines w:val="1"/>
      <w:spacing w:after="120" w:before="480"/>
    </w:pPr>
    <w:rPr>
      <w:b w:val="1"/>
      <w:sz w:val="72"/>
      <w:szCs w:val="72"/>
    </w:rPr>
  </w:style>
  <w:style w:type="table" w:styleId="TableGrid">
    <w:name w:val="Table Grid"/>
    <w:basedOn w:val="TableNormal"/>
    <w:uiPriority w:val="39"/>
    <w:rsid w:val="006C680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ListParagraph">
    <w:name w:val="List Paragraph"/>
    <w:aliases w:val="3,NORMAL"/>
    <w:basedOn w:val="Normal"/>
    <w:link w:val="ListParagraphChar"/>
    <w:uiPriority w:val="34"/>
    <w:qFormat w:val="1"/>
    <w:rsid w:val="00506803"/>
    <w:pPr>
      <w:ind w:left="720"/>
      <w:contextualSpacing w:val="1"/>
    </w:pPr>
  </w:style>
  <w:style w:type="paragraph" w:styleId="NoSpacing">
    <w:name w:val="No Spacing"/>
    <w:link w:val="NoSpacingChar"/>
    <w:uiPriority w:val="1"/>
    <w:qFormat w:val="1"/>
    <w:rsid w:val="00BB02D6"/>
    <w:pPr>
      <w:spacing w:after="0" w:line="240" w:lineRule="auto"/>
    </w:pPr>
    <w:rPr>
      <w:rFonts w:ascii="Tahoma" w:cs="Tahoma" w:eastAsia="Times New Roman" w:hAnsi="Tahoma"/>
      <w:sz w:val="24"/>
      <w:szCs w:val="24"/>
      <w:lang w:eastAsia="es-ES"/>
    </w:rPr>
  </w:style>
  <w:style w:type="paragraph" w:styleId="Default" w:customStyle="1">
    <w:name w:val="Default"/>
    <w:rsid w:val="009A634C"/>
    <w:pPr>
      <w:autoSpaceDE w:val="0"/>
      <w:autoSpaceDN w:val="0"/>
      <w:adjustRightInd w:val="0"/>
      <w:spacing w:after="0" w:line="240" w:lineRule="auto"/>
    </w:pPr>
    <w:rPr>
      <w:rFonts w:ascii="Myriad Pro" w:cs="Myriad Pro" w:hAnsi="Myriad Pro"/>
      <w:color w:val="000000"/>
      <w:sz w:val="24"/>
      <w:szCs w:val="24"/>
    </w:rPr>
  </w:style>
  <w:style w:type="character" w:styleId="Strong">
    <w:name w:val="Strong"/>
    <w:basedOn w:val="DefaultParagraphFont"/>
    <w:uiPriority w:val="22"/>
    <w:qFormat w:val="1"/>
    <w:rsid w:val="00775B83"/>
    <w:rPr>
      <w:b w:val="1"/>
      <w:bCs w:val="1"/>
    </w:rPr>
  </w:style>
  <w:style w:type="character" w:styleId="Hyperlink">
    <w:name w:val="Hyperlink"/>
    <w:basedOn w:val="DefaultParagraphFont"/>
    <w:uiPriority w:val="99"/>
    <w:unhideWhenUsed w:val="1"/>
    <w:rsid w:val="00775B83"/>
    <w:rPr>
      <w:color w:val="0000ff"/>
      <w:u w:val="single"/>
    </w:rPr>
  </w:style>
  <w:style w:type="paragraph" w:styleId="BalloonText">
    <w:name w:val="Balloon Text"/>
    <w:basedOn w:val="Normal"/>
    <w:link w:val="BalloonTextChar"/>
    <w:uiPriority w:val="99"/>
    <w:semiHidden w:val="1"/>
    <w:unhideWhenUsed w:val="1"/>
    <w:rsid w:val="00C04845"/>
    <w:pPr>
      <w:spacing w:after="0" w:line="240" w:lineRule="auto"/>
    </w:pPr>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C04845"/>
    <w:rPr>
      <w:rFonts w:ascii="Segoe UI" w:cs="Segoe UI" w:hAnsi="Segoe UI"/>
      <w:sz w:val="18"/>
      <w:szCs w:val="18"/>
    </w:rPr>
  </w:style>
  <w:style w:type="paragraph" w:styleId="Header">
    <w:name w:val="header"/>
    <w:basedOn w:val="Normal"/>
    <w:link w:val="HeaderChar"/>
    <w:uiPriority w:val="99"/>
    <w:unhideWhenUsed w:val="1"/>
    <w:rsid w:val="00A57EE8"/>
    <w:pPr>
      <w:tabs>
        <w:tab w:val="center" w:pos="4419"/>
        <w:tab w:val="right" w:pos="8838"/>
      </w:tabs>
      <w:spacing w:after="0" w:line="240" w:lineRule="auto"/>
    </w:pPr>
  </w:style>
  <w:style w:type="character" w:styleId="HeaderChar" w:customStyle="1">
    <w:name w:val="Header Char"/>
    <w:basedOn w:val="DefaultParagraphFont"/>
    <w:link w:val="Header"/>
    <w:uiPriority w:val="99"/>
    <w:rsid w:val="00A57EE8"/>
  </w:style>
  <w:style w:type="paragraph" w:styleId="Footer">
    <w:name w:val="footer"/>
    <w:basedOn w:val="Normal"/>
    <w:link w:val="FooterChar"/>
    <w:uiPriority w:val="99"/>
    <w:unhideWhenUsed w:val="1"/>
    <w:rsid w:val="00A57EE8"/>
    <w:pPr>
      <w:tabs>
        <w:tab w:val="center" w:pos="4419"/>
        <w:tab w:val="right" w:pos="8838"/>
      </w:tabs>
      <w:spacing w:after="0" w:line="240" w:lineRule="auto"/>
    </w:pPr>
  </w:style>
  <w:style w:type="character" w:styleId="FooterChar" w:customStyle="1">
    <w:name w:val="Footer Char"/>
    <w:basedOn w:val="DefaultParagraphFont"/>
    <w:link w:val="Footer"/>
    <w:uiPriority w:val="99"/>
    <w:rsid w:val="00A57EE8"/>
  </w:style>
  <w:style w:type="character" w:styleId="NoSpacingChar" w:customStyle="1">
    <w:name w:val="No Spacing Char"/>
    <w:basedOn w:val="DefaultParagraphFont"/>
    <w:link w:val="NoSpacing"/>
    <w:uiPriority w:val="1"/>
    <w:rsid w:val="00BF0B69"/>
    <w:rPr>
      <w:rFonts w:ascii="Tahoma" w:cs="Tahoma" w:eastAsia="Times New Roman" w:hAnsi="Tahoma"/>
      <w:sz w:val="24"/>
      <w:szCs w:val="24"/>
      <w:lang w:eastAsia="es-ES"/>
    </w:rPr>
  </w:style>
  <w:style w:type="paragraph" w:styleId="FootnoteText">
    <w:name w:val="footnote text"/>
    <w:basedOn w:val="Normal"/>
    <w:link w:val="FootnoteTextChar"/>
    <w:uiPriority w:val="99"/>
    <w:semiHidden w:val="1"/>
    <w:unhideWhenUsed w:val="1"/>
    <w:rsid w:val="00300811"/>
    <w:pPr>
      <w:spacing w:after="0" w:line="240" w:lineRule="auto"/>
    </w:pPr>
    <w:rPr>
      <w:sz w:val="20"/>
      <w:szCs w:val="20"/>
    </w:rPr>
  </w:style>
  <w:style w:type="character" w:styleId="FootnoteTextChar" w:customStyle="1">
    <w:name w:val="Footnote Text Char"/>
    <w:basedOn w:val="DefaultParagraphFont"/>
    <w:link w:val="FootnoteText"/>
    <w:uiPriority w:val="99"/>
    <w:semiHidden w:val="1"/>
    <w:rsid w:val="00300811"/>
    <w:rPr>
      <w:sz w:val="20"/>
      <w:szCs w:val="20"/>
    </w:rPr>
  </w:style>
  <w:style w:type="paragraph" w:styleId="BodyText">
    <w:name w:val="Body Text"/>
    <w:basedOn w:val="Normal"/>
    <w:link w:val="BodyTextChar"/>
    <w:uiPriority w:val="1"/>
    <w:semiHidden w:val="1"/>
    <w:unhideWhenUsed w:val="1"/>
    <w:qFormat w:val="1"/>
    <w:rsid w:val="00300811"/>
    <w:pPr>
      <w:widowControl w:val="0"/>
      <w:autoSpaceDE w:val="0"/>
      <w:autoSpaceDN w:val="0"/>
      <w:spacing w:after="0" w:line="240" w:lineRule="auto"/>
    </w:pPr>
    <w:rPr>
      <w:rFonts w:ascii="Arial" w:cs="Arial" w:eastAsia="Arial" w:hAnsi="Arial"/>
      <w:sz w:val="28"/>
      <w:szCs w:val="28"/>
      <w:lang w:bidi="es-CR" w:eastAsia="es-CR"/>
    </w:rPr>
  </w:style>
  <w:style w:type="character" w:styleId="BodyTextChar" w:customStyle="1">
    <w:name w:val="Body Text Char"/>
    <w:basedOn w:val="DefaultParagraphFont"/>
    <w:link w:val="BodyText"/>
    <w:uiPriority w:val="1"/>
    <w:semiHidden w:val="1"/>
    <w:rsid w:val="00300811"/>
    <w:rPr>
      <w:rFonts w:ascii="Arial" w:cs="Arial" w:eastAsia="Arial" w:hAnsi="Arial"/>
      <w:sz w:val="28"/>
      <w:szCs w:val="28"/>
      <w:lang w:bidi="es-CR" w:eastAsia="es-CR"/>
    </w:rPr>
  </w:style>
  <w:style w:type="character" w:styleId="FootnoteReference">
    <w:name w:val="footnote reference"/>
    <w:basedOn w:val="DefaultParagraphFont"/>
    <w:uiPriority w:val="99"/>
    <w:semiHidden w:val="1"/>
    <w:unhideWhenUsed w:val="1"/>
    <w:rsid w:val="00300811"/>
    <w:rPr>
      <w:vertAlign w:val="superscript"/>
    </w:rPr>
  </w:style>
  <w:style w:type="character" w:styleId="ListParagraphChar" w:customStyle="1">
    <w:name w:val="List Paragraph Char"/>
    <w:aliases w:val="3 Char,NORMAL Char"/>
    <w:basedOn w:val="DefaultParagraphFont"/>
    <w:link w:val="ListParagraph"/>
    <w:uiPriority w:val="34"/>
    <w:rsid w:val="00B72322"/>
  </w:style>
  <w:style w:type="paragraph" w:styleId="TtuloA" w:customStyle="1">
    <w:name w:val="Título A"/>
    <w:basedOn w:val="Heading1"/>
    <w:link w:val="TtuloACar"/>
    <w:qFormat w:val="1"/>
    <w:rsid w:val="003731CE"/>
    <w:pPr>
      <w:spacing w:after="120" w:before="480"/>
    </w:pPr>
    <w:rPr>
      <w:rFonts w:ascii="Calibri" w:cs="Calibri" w:hAnsi="Calibri"/>
      <w:b w:val="0"/>
      <w:sz w:val="36"/>
      <w:szCs w:val="48"/>
    </w:rPr>
  </w:style>
  <w:style w:type="character" w:styleId="TtuloACar" w:customStyle="1">
    <w:name w:val="Título A Car"/>
    <w:basedOn w:val="Heading1Char"/>
    <w:link w:val="TtuloA"/>
    <w:rsid w:val="003731CE"/>
    <w:rPr>
      <w:rFonts w:ascii="Calibri" w:cs="Calibri" w:eastAsia="Calibri" w:hAnsi="Calibri"/>
      <w:b w:val="0"/>
      <w:color w:val="2e74b5" w:themeColor="accent1" w:themeShade="0000BF"/>
      <w:sz w:val="36"/>
      <w:szCs w:val="48"/>
      <w:lang w:eastAsia="es-419"/>
    </w:rPr>
  </w:style>
  <w:style w:type="character" w:styleId="Heading1Char" w:customStyle="1">
    <w:name w:val="Heading 1 Char"/>
    <w:basedOn w:val="DefaultParagraphFont"/>
    <w:link w:val="Heading1"/>
    <w:uiPriority w:val="9"/>
    <w:rsid w:val="00E35C31"/>
    <w:rPr>
      <w:rFonts w:ascii="Arial" w:cs="Arial" w:hAnsi="Arial"/>
      <w:b w:val="1"/>
      <w:sz w:val="28"/>
      <w:szCs w:val="28"/>
    </w:rPr>
  </w:style>
  <w:style w:type="character" w:styleId="BookTitle">
    <w:name w:val="Book Title"/>
    <w:basedOn w:val="DefaultParagraphFont"/>
    <w:uiPriority w:val="33"/>
    <w:qFormat w:val="1"/>
    <w:rsid w:val="003731CE"/>
    <w:rPr>
      <w:b w:val="1"/>
      <w:bCs w:val="1"/>
      <w:i w:val="1"/>
      <w:iCs w:val="1"/>
      <w:spacing w:val="5"/>
    </w:rPr>
  </w:style>
  <w:style w:type="character" w:styleId="Heading2Char" w:customStyle="1">
    <w:name w:val="Heading 2 Char"/>
    <w:basedOn w:val="DefaultParagraphFont"/>
    <w:link w:val="Heading2"/>
    <w:uiPriority w:val="9"/>
    <w:rsid w:val="003731CE"/>
    <w:rPr>
      <w:rFonts w:asciiTheme="majorHAnsi" w:cstheme="majorBidi" w:eastAsiaTheme="majorEastAsia" w:hAnsiTheme="majorHAnsi"/>
      <w:color w:val="2e74b5" w:themeColor="accent1" w:themeShade="0000BF"/>
      <w:sz w:val="26"/>
      <w:szCs w:val="26"/>
    </w:rPr>
  </w:style>
  <w:style w:type="paragraph" w:styleId="TituloB" w:customStyle="1">
    <w:name w:val="Titulo B"/>
    <w:basedOn w:val="TtuloA"/>
    <w:link w:val="TituloBCar"/>
    <w:qFormat w:val="1"/>
    <w:rsid w:val="003731CE"/>
    <w:rPr>
      <w:sz w:val="32"/>
    </w:rPr>
  </w:style>
  <w:style w:type="character" w:styleId="TituloBCar" w:customStyle="1">
    <w:name w:val="Titulo B Car"/>
    <w:basedOn w:val="TtuloACar"/>
    <w:link w:val="TituloB"/>
    <w:rsid w:val="003731CE"/>
    <w:rPr>
      <w:rFonts w:ascii="Calibri" w:cs="Calibri" w:eastAsia="Calibri" w:hAnsi="Calibri"/>
      <w:b w:val="0"/>
      <w:color w:val="2e74b5" w:themeColor="accent1" w:themeShade="0000BF"/>
      <w:sz w:val="32"/>
      <w:szCs w:val="48"/>
      <w:lang w:eastAsia="es-419"/>
    </w:rPr>
  </w:style>
  <w:style w:type="character" w:styleId="A2" w:customStyle="1">
    <w:name w:val="A2"/>
    <w:uiPriority w:val="99"/>
    <w:rsid w:val="002B039C"/>
    <w:rPr>
      <w:rFonts w:cs="Myriad Pro"/>
      <w:color w:val="000000"/>
      <w:sz w:val="23"/>
      <w:szCs w:val="23"/>
    </w:rPr>
  </w:style>
  <w:style w:type="paragraph" w:styleId="TOCHeading">
    <w:name w:val="TOC Heading"/>
    <w:basedOn w:val="Heading1"/>
    <w:next w:val="Normal"/>
    <w:uiPriority w:val="39"/>
    <w:unhideWhenUsed w:val="1"/>
    <w:qFormat w:val="1"/>
    <w:rsid w:val="00557E55"/>
    <w:pPr>
      <w:outlineLvl w:val="9"/>
    </w:pPr>
    <w:rPr>
      <w:lang w:val="es-419"/>
    </w:rPr>
  </w:style>
  <w:style w:type="paragraph" w:styleId="TOC1">
    <w:name w:val="toc 1"/>
    <w:basedOn w:val="Normal"/>
    <w:next w:val="Normal"/>
    <w:autoRedefine w:val="1"/>
    <w:uiPriority w:val="39"/>
    <w:unhideWhenUsed w:val="1"/>
    <w:rsid w:val="00955955"/>
    <w:pPr>
      <w:tabs>
        <w:tab w:val="left" w:pos="284"/>
        <w:tab w:val="right" w:leader="dot" w:pos="12994"/>
      </w:tabs>
      <w:spacing w:after="100"/>
    </w:pPr>
  </w:style>
  <w:style w:type="paragraph" w:styleId="TOC2">
    <w:name w:val="toc 2"/>
    <w:basedOn w:val="Normal"/>
    <w:next w:val="Normal"/>
    <w:autoRedefine w:val="1"/>
    <w:uiPriority w:val="39"/>
    <w:unhideWhenUsed w:val="1"/>
    <w:rsid w:val="00557E55"/>
    <w:pPr>
      <w:spacing w:after="100"/>
      <w:ind w:left="220"/>
    </w:pPr>
  </w:style>
  <w:style w:type="paragraph" w:styleId="CommentText">
    <w:name w:val="annotation text"/>
    <w:basedOn w:val="Normal"/>
    <w:link w:val="CommentTextChar"/>
    <w:uiPriority w:val="99"/>
    <w:unhideWhenUsed w:val="1"/>
    <w:rsid w:val="000A1D15"/>
    <w:pPr>
      <w:spacing w:line="240" w:lineRule="auto"/>
    </w:pPr>
    <w:rPr>
      <w:sz w:val="20"/>
      <w:szCs w:val="20"/>
      <w:lang w:val="es-419"/>
    </w:rPr>
  </w:style>
  <w:style w:type="character" w:styleId="CommentTextChar" w:customStyle="1">
    <w:name w:val="Comment Text Char"/>
    <w:basedOn w:val="DefaultParagraphFont"/>
    <w:link w:val="CommentText"/>
    <w:uiPriority w:val="99"/>
    <w:rsid w:val="000A1D15"/>
    <w:rPr>
      <w:sz w:val="20"/>
      <w:szCs w:val="20"/>
      <w:lang w:val="es-419"/>
    </w:rPr>
  </w:style>
  <w:style w:type="character" w:styleId="Heading3Char" w:customStyle="1">
    <w:name w:val="Heading 3 Char"/>
    <w:basedOn w:val="DefaultParagraphFont"/>
    <w:link w:val="Heading3"/>
    <w:uiPriority w:val="9"/>
    <w:rsid w:val="00676F84"/>
    <w:rPr>
      <w:rFonts w:asciiTheme="majorHAnsi" w:cstheme="majorBidi" w:eastAsiaTheme="majorEastAsia" w:hAnsiTheme="majorHAnsi"/>
      <w:color w:val="1f4d78" w:themeColor="accent1" w:themeShade="00007F"/>
      <w:sz w:val="24"/>
      <w:szCs w:val="24"/>
    </w:rPr>
  </w:style>
  <w:style w:type="paragraph" w:styleId="TOC3">
    <w:name w:val="toc 3"/>
    <w:basedOn w:val="Normal"/>
    <w:next w:val="Normal"/>
    <w:autoRedefine w:val="1"/>
    <w:uiPriority w:val="39"/>
    <w:unhideWhenUsed w:val="1"/>
    <w:rsid w:val="00676F84"/>
    <w:pPr>
      <w:spacing w:after="100"/>
      <w:ind w:left="440"/>
    </w:pPr>
  </w:style>
  <w:style w:type="character" w:styleId="CommentReference">
    <w:name w:val="annotation reference"/>
    <w:basedOn w:val="DefaultParagraphFont"/>
    <w:uiPriority w:val="99"/>
    <w:semiHidden w:val="1"/>
    <w:unhideWhenUsed w:val="1"/>
    <w:rsid w:val="00F545F8"/>
    <w:rPr>
      <w:sz w:val="16"/>
      <w:szCs w:val="16"/>
    </w:rPr>
  </w:style>
  <w:style w:type="paragraph" w:styleId="CommentSubject">
    <w:name w:val="annotation subject"/>
    <w:basedOn w:val="CommentText"/>
    <w:next w:val="CommentText"/>
    <w:link w:val="CommentSubjectChar"/>
    <w:uiPriority w:val="99"/>
    <w:semiHidden w:val="1"/>
    <w:unhideWhenUsed w:val="1"/>
    <w:rsid w:val="00F545F8"/>
    <w:rPr>
      <w:b w:val="1"/>
      <w:bCs w:val="1"/>
      <w:lang w:val="es-CR"/>
    </w:rPr>
  </w:style>
  <w:style w:type="character" w:styleId="CommentSubjectChar" w:customStyle="1">
    <w:name w:val="Comment Subject Char"/>
    <w:basedOn w:val="CommentTextChar"/>
    <w:link w:val="CommentSubject"/>
    <w:uiPriority w:val="99"/>
    <w:semiHidden w:val="1"/>
    <w:rsid w:val="00F545F8"/>
    <w:rPr>
      <w:b w:val="1"/>
      <w:bCs w:val="1"/>
      <w:sz w:val="20"/>
      <w:szCs w:val="20"/>
      <w:lang w:val="es-419"/>
    </w:rPr>
  </w:style>
  <w:style w:type="character" w:styleId="Mencinsinresolver1" w:customStyle="1">
    <w:name w:val="Mención sin resolver1"/>
    <w:basedOn w:val="DefaultParagraphFont"/>
    <w:uiPriority w:val="99"/>
    <w:semiHidden w:val="1"/>
    <w:unhideWhenUsed w:val="1"/>
    <w:rsid w:val="002F0F5D"/>
    <w:rPr>
      <w:color w:val="605e5c"/>
      <w:shd w:color="auto" w:fill="e1dfdd" w:val="clear"/>
    </w:rPr>
  </w:style>
  <w:style w:type="paragraph" w:styleId="Caption">
    <w:name w:val="caption"/>
    <w:basedOn w:val="Normal"/>
    <w:next w:val="Normal"/>
    <w:uiPriority w:val="35"/>
    <w:unhideWhenUsed w:val="1"/>
    <w:qFormat w:val="1"/>
    <w:rsid w:val="003A512F"/>
    <w:pPr>
      <w:spacing w:after="0" w:line="240" w:lineRule="auto"/>
    </w:pPr>
    <w:rPr>
      <w:i w:val="1"/>
      <w:iCs w:val="1"/>
      <w:color w:val="44546a" w:themeColor="text2"/>
      <w:sz w:val="18"/>
      <w:szCs w:val="18"/>
    </w:rPr>
  </w:style>
  <w:style w:type="paragraph" w:styleId="NormalWeb">
    <w:name w:val="Normal (Web)"/>
    <w:basedOn w:val="Normal"/>
    <w:uiPriority w:val="99"/>
    <w:unhideWhenUsed w:val="1"/>
    <w:rsid w:val="00AA7E9C"/>
    <w:pPr>
      <w:spacing w:after="100" w:afterAutospacing="1" w:before="100" w:beforeAutospacing="1" w:line="240" w:lineRule="auto"/>
    </w:pPr>
    <w:rPr>
      <w:rFonts w:ascii="Times New Roman" w:cs="Times New Roman" w:eastAsia="Times New Roman" w:hAnsi="Times New Roman"/>
      <w:sz w:val="24"/>
      <w:szCs w:val="24"/>
      <w:lang w:val="en-US"/>
    </w:rPr>
  </w:style>
  <w:style w:type="character" w:styleId="FollowedHyperlink">
    <w:name w:val="FollowedHyperlink"/>
    <w:basedOn w:val="DefaultParagraphFont"/>
    <w:uiPriority w:val="99"/>
    <w:semiHidden w:val="1"/>
    <w:unhideWhenUsed w:val="1"/>
    <w:rsid w:val="00E728A6"/>
    <w:rPr>
      <w:color w:val="954f72" w:themeColor="followedHyperlink"/>
      <w:u w:val="single"/>
    </w:rPr>
  </w:style>
  <w:style w:type="character" w:styleId="a" w:customStyle="1">
    <w:name w:val="a"/>
    <w:basedOn w:val="DefaultParagraphFont"/>
    <w:rsid w:val="00965DBD"/>
  </w:style>
  <w:style w:type="character" w:styleId="l6" w:customStyle="1">
    <w:name w:val="l6"/>
    <w:basedOn w:val="DefaultParagraphFont"/>
    <w:rsid w:val="00965DBD"/>
  </w:style>
  <w:style w:type="character" w:styleId="UnresolvedMention1" w:customStyle="1">
    <w:name w:val="Unresolved Mention1"/>
    <w:basedOn w:val="DefaultParagraphFont"/>
    <w:uiPriority w:val="99"/>
    <w:semiHidden w:val="1"/>
    <w:unhideWhenUsed w:val="1"/>
    <w:rsid w:val="007478FA"/>
    <w:rPr>
      <w:color w:val="605e5c"/>
      <w:shd w:color="auto" w:fill="e1dfdd" w:val="clear"/>
    </w:rPr>
  </w:style>
  <w:style w:type="paragraph" w:styleId="Pa4" w:customStyle="1">
    <w:name w:val="Pa4"/>
    <w:basedOn w:val="Default"/>
    <w:next w:val="Default"/>
    <w:uiPriority w:val="99"/>
    <w:rsid w:val="0019374E"/>
    <w:pPr>
      <w:spacing w:line="241" w:lineRule="atLeast"/>
    </w:pPr>
    <w:rPr>
      <w:rFonts w:ascii="HelveticaNeueLT Com 55 Roman" w:hAnsi="HelveticaNeueLT Com 55 Roman" w:cstheme="minorBidi"/>
      <w:color w:val="auto"/>
      <w:lang w:val="es-MX"/>
    </w:rPr>
  </w:style>
  <w:style w:type="paragraph" w:styleId="Pa13" w:customStyle="1">
    <w:name w:val="Pa13"/>
    <w:basedOn w:val="Default"/>
    <w:next w:val="Default"/>
    <w:uiPriority w:val="99"/>
    <w:rsid w:val="00C65A01"/>
    <w:pPr>
      <w:spacing w:line="241" w:lineRule="atLeast"/>
    </w:pPr>
    <w:rPr>
      <w:rFonts w:ascii="GQCZXL+HelveticaNeueLTCom-Lt" w:hAnsi="GQCZXL+HelveticaNeueLTCom-Lt" w:cstheme="minorBidi"/>
      <w:color w:val="auto"/>
      <w:lang w:val="es-MX"/>
    </w:rPr>
  </w:style>
  <w:style w:type="paragraph" w:styleId="Subtitle">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0" w:customStyle="1">
    <w:basedOn w:val="NormalTable0"/>
    <w:pPr>
      <w:spacing w:after="0" w:line="240" w:lineRule="auto"/>
    </w:pPr>
    <w:tblPr>
      <w:tblStyleRowBandSize w:val="1"/>
      <w:tblStyleColBandSize w:val="1"/>
      <w:tblCellMar>
        <w:left w:w="108.0" w:type="dxa"/>
        <w:right w:w="108.0" w:type="dxa"/>
      </w:tblCellMar>
    </w:tblPr>
  </w:style>
  <w:style w:type="table" w:styleId="a1" w:customStyle="1">
    <w:basedOn w:val="NormalTable0"/>
    <w:pPr>
      <w:spacing w:after="0" w:line="240" w:lineRule="auto"/>
    </w:pPr>
    <w:tblPr>
      <w:tblStyleRowBandSize w:val="1"/>
      <w:tblStyleColBandSize w:val="1"/>
      <w:tblCellMar>
        <w:left w:w="108.0" w:type="dxa"/>
        <w:right w:w="108.0" w:type="dxa"/>
      </w:tblCellMar>
    </w:tblPr>
  </w:style>
  <w:style w:type="table" w:styleId="a3" w:customStyle="1">
    <w:basedOn w:val="NormalTable0"/>
    <w:tblPr>
      <w:tblStyleRowBandSize w:val="1"/>
      <w:tblStyleColBandSize w:val="1"/>
      <w:tblCellMar>
        <w:left w:w="115.0" w:type="dxa"/>
        <w:right w:w="115.0" w:type="dxa"/>
      </w:tblCellMar>
    </w:tblPr>
  </w:style>
  <w:style w:type="table" w:styleId="a4" w:customStyle="1">
    <w:basedOn w:val="NormalTable0"/>
    <w:pPr>
      <w:spacing w:after="0" w:line="240" w:lineRule="auto"/>
    </w:pPr>
    <w:tblPr>
      <w:tblStyleRowBandSize w:val="1"/>
      <w:tblStyleColBandSize w:val="1"/>
      <w:tblCellMar>
        <w:left w:w="108.0" w:type="dxa"/>
        <w:right w:w="108.0" w:type="dxa"/>
      </w:tblCellMar>
    </w:tblPr>
  </w:style>
  <w:style w:type="table" w:styleId="a5" w:customStyle="1">
    <w:basedOn w:val="NormalTable0"/>
    <w:pPr>
      <w:spacing w:after="0" w:line="240" w:lineRule="auto"/>
    </w:pPr>
    <w:tblPr>
      <w:tblStyleRowBandSize w:val="1"/>
      <w:tblStyleColBandSize w:val="1"/>
      <w:tblCellMar>
        <w:left w:w="108.0" w:type="dxa"/>
        <w:right w:w="108.0" w:type="dxa"/>
      </w:tblCellMar>
    </w:tblPr>
  </w:style>
  <w:style w:type="table" w:styleId="a6" w:customStyle="1">
    <w:basedOn w:val="NormalTable0"/>
    <w:pPr>
      <w:spacing w:after="0" w:line="240" w:lineRule="auto"/>
    </w:pPr>
    <w:tblPr>
      <w:tblStyleRowBandSize w:val="1"/>
      <w:tblStyleColBandSize w:val="1"/>
      <w:tblCellMar>
        <w:left w:w="108.0" w:type="dxa"/>
        <w:right w:w="108.0" w:type="dxa"/>
      </w:tblCellMar>
    </w:tblPr>
  </w:style>
  <w:style w:type="table" w:styleId="a7" w:customStyle="1">
    <w:basedOn w:val="NormalTable0"/>
    <w:pPr>
      <w:spacing w:after="0" w:line="240" w:lineRule="auto"/>
    </w:pPr>
    <w:tblPr>
      <w:tblStyleRowBandSize w:val="1"/>
      <w:tblStyleColBandSize w:val="1"/>
      <w:tblCellMar>
        <w:left w:w="108.0" w:type="dxa"/>
        <w:right w:w="108.0" w:type="dxa"/>
      </w:tblCellMar>
    </w:tblPr>
  </w:style>
  <w:style w:type="table" w:styleId="a8" w:customStyle="1">
    <w:basedOn w:val="NormalTable0"/>
    <w:pPr>
      <w:spacing w:after="0" w:line="240" w:lineRule="auto"/>
    </w:pPr>
    <w:tblPr>
      <w:tblStyleRowBandSize w:val="1"/>
      <w:tblStyleColBandSize w:val="1"/>
      <w:tblCellMar>
        <w:left w:w="108.0" w:type="dxa"/>
        <w:right w:w="108.0" w:type="dxa"/>
      </w:tblCellMar>
    </w:tblPr>
  </w:style>
  <w:style w:type="table" w:styleId="a9" w:customStyle="1">
    <w:basedOn w:val="NormalTable0"/>
    <w:pPr>
      <w:spacing w:after="0" w:line="240" w:lineRule="auto"/>
    </w:pPr>
    <w:tblPr>
      <w:tblStyleRowBandSize w:val="1"/>
      <w:tblStyleColBandSize w:val="1"/>
      <w:tblCellMar>
        <w:left w:w="108.0" w:type="dxa"/>
        <w:right w:w="108.0" w:type="dxa"/>
      </w:tblCellMar>
    </w:tblPr>
  </w:style>
  <w:style w:type="character" w:styleId="normaltextrun" w:customStyle="1">
    <w:name w:val="normaltextrun"/>
    <w:basedOn w:val="DefaultParagraphFont"/>
    <w:rsid w:val="00B177AC"/>
  </w:style>
  <w:style w:type="character" w:styleId="UnresolvedMention">
    <w:name w:val="Unresolved Mention"/>
    <w:basedOn w:val="DefaultParagraphFont"/>
    <w:uiPriority w:val="99"/>
    <w:semiHidden w:val="1"/>
    <w:unhideWhenUsed w:val="1"/>
    <w:rsid w:val="00466CAB"/>
    <w:rPr>
      <w:color w:val="605e5c"/>
      <w:shd w:color="auto" w:fill="e1dfdd" w:val="clear"/>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drive.google.com/file/d/1RGhQbohzyivbIoF91C68hjq8Yumv16-p/view?usp=sharing" TargetMode="External"/><Relationship Id="rId10" Type="http://schemas.openxmlformats.org/officeDocument/2006/relationships/hyperlink" Target="https://drive.google.com/file/d/19yDQ_4sHN8nDDuJ1hYt__Iv8KMLpEdVl/view?usp=sharing" TargetMode="External"/><Relationship Id="rId13" Type="http://schemas.openxmlformats.org/officeDocument/2006/relationships/hyperlink" Target="https://pz.harvard.edu/thinking-routines" TargetMode="External"/><Relationship Id="rId12" Type="http://schemas.openxmlformats.org/officeDocument/2006/relationships/hyperlink" Target="https://rightstartmath.com/wp-content/uploads/2021/01/Finger-Cards.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rive.google.com/file/d/1Lez-gl3kKA5sG19mlo9V4caOru0o6X8w/view?usp=sharing" TargetMode="External"/><Relationship Id="rId15" Type="http://schemas.openxmlformats.org/officeDocument/2006/relationships/hyperlink" Target="https://paniamor.org/Project/detail/31/hola-soy-pluc" TargetMode="External"/><Relationship Id="rId14" Type="http://schemas.openxmlformats.org/officeDocument/2006/relationships/hyperlink" Target="https://pz.harvard.edu/sites/default/files/Qu%C3%A9%20te%20hace%20decir%20eso%20-%20What%20Makes%20You%20Say%20That.pdf" TargetMode="External"/><Relationship Id="rId17" Type="http://schemas.openxmlformats.org/officeDocument/2006/relationships/hyperlink" Target="http://www.paniamor.org" TargetMode="External"/><Relationship Id="rId16" Type="http://schemas.openxmlformats.org/officeDocument/2006/relationships/hyperlink" Target="https://paniamor.org/Resource/index/6/pluc-te-cuenta-un-cuento--" TargetMode="Externa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yperlink" Target="https://drive.google.com/file/d/11i2zdmpWZ7VmWTVg9ITgmblf7pfkUU0s/view?usp=sharing" TargetMode="External"/><Relationship Id="rId7" Type="http://schemas.openxmlformats.org/officeDocument/2006/relationships/image" Target="media/image1.png"/><Relationship Id="rId8" Type="http://schemas.openxmlformats.org/officeDocument/2006/relationships/hyperlink" Target="https://drive.google.com/drive/folders/11uwx-ZWpvdi8DrfEy0C2UPZxLJbF5NgN?usp=drive_lin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yRUBUmCxJgfZeC365H6Nz08lFQ==">CgMxLjAyCGguZ2pkZ3hzMgloLjFmb2I5dGUyCWguM2R5NnZrbTIJaC4xN2RwOHZ1MghoLnR5amN3dDIJaC4zajJxcW0zMgloLjF0M2g1c2YyDmguOXh5ZmV1YnhubGl6Mg5oLjRmY20yeXRuM2drbTIOaC5paGR5YjVrdmxkaTgyCWguNGk3b2pocDIJaC4yeGN5dHBpMgloLjFjaTkzeGIyCWguM3dod21sNDIJaC4yYm42d3N4MghoLnFzaDcwcTIJaC40NHNpbmlvMgloLjJqeHN4cWgyCGguejMzN3lhOAByITF0MU9iSTloVDc2SGw5bE9KdXBwWWNPVUU0YU9acE5pO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2023-04-10T15:55:00Z</dcterms:created>
  <dc:creator>Nelson Jesús Campos Quesada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0x0101001CA13B8A35A4A342B7DB68361E5320E6</vt:lpwstr>
  </property>
  <property fmtid="{D5CDD505-2E9C-101B-9397-08002B2CF9AE}" pid="3" name="MediaServiceImageTags">
    <vt:lpwstr/>
  </property>
  <property fmtid="{D5CDD505-2E9C-101B-9397-08002B2CF9AE}" pid="4" name="MediaServiceImageTags">
    <vt:lpwstr>MediaServiceImageTags</vt:lpwstr>
  </property>
  <property fmtid="{D5CDD505-2E9C-101B-9397-08002B2CF9AE}" pid="5" name="ContentTypeId">
    <vt:lpwstr>0x0101001CA13B8A35A4A342B7DB68361E5320E6</vt:lpwstr>
  </property>
</Properties>
</file>